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80" w:rsidRDefault="00BA3B8F">
      <w:pPr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Abstract Guidelines</w:t>
      </w:r>
    </w:p>
    <w:p w:rsidR="00BA3B8F" w:rsidRPr="00BA3B8F" w:rsidRDefault="00BA3B8F" w:rsidP="00BA3B8F">
      <w:pPr>
        <w:jc w:val="center"/>
        <w:rPr>
          <w:lang w:val="en-US"/>
        </w:rPr>
      </w:pPr>
      <w:r w:rsidRPr="00BA3B8F">
        <w:rPr>
          <w:lang w:val="en-US"/>
        </w:rPr>
        <w:t>I International Scientific and Practical Conference</w:t>
      </w:r>
    </w:p>
    <w:p w:rsidR="00CD2A80" w:rsidRPr="00BA6D56" w:rsidRDefault="00BA3B8F" w:rsidP="00BA3B8F">
      <w:pPr>
        <w:jc w:val="center"/>
        <w:rPr>
          <w:lang w:val="en-US"/>
        </w:rPr>
      </w:pPr>
      <w:r w:rsidRPr="00BA3B8F">
        <w:rPr>
          <w:b/>
          <w:lang w:val="en-US"/>
        </w:rPr>
        <w:t>“I</w:t>
      </w:r>
      <w:r w:rsidRPr="00BA3B8F">
        <w:rPr>
          <w:b/>
          <w:lang w:val="en-US"/>
        </w:rPr>
        <w:t>nnovative biotechnologies for environmental protection</w:t>
      </w:r>
      <w:proofErr w:type="gramStart"/>
      <w:r w:rsidRPr="00BA3B8F">
        <w:rPr>
          <w:b/>
          <w:lang w:val="en-US"/>
        </w:rPr>
        <w:t>:</w:t>
      </w:r>
      <w:proofErr w:type="gramEnd"/>
      <w:r>
        <w:rPr>
          <w:b/>
          <w:lang w:val="en-US"/>
        </w:rPr>
        <w:br/>
      </w:r>
      <w:r w:rsidRPr="00BA3B8F">
        <w:rPr>
          <w:b/>
          <w:lang w:val="en-US"/>
        </w:rPr>
        <w:t>from theory to pra</w:t>
      </w:r>
      <w:r w:rsidRPr="00BA3B8F">
        <w:rPr>
          <w:b/>
          <w:lang w:val="en-US"/>
        </w:rPr>
        <w:t>c</w:t>
      </w:r>
      <w:r w:rsidRPr="00BA3B8F">
        <w:rPr>
          <w:b/>
          <w:lang w:val="en-US"/>
        </w:rPr>
        <w:t>tice</w:t>
      </w:r>
      <w:r w:rsidRPr="00BA3B8F">
        <w:rPr>
          <w:b/>
          <w:lang w:val="en-US"/>
        </w:rPr>
        <w:t>”</w:t>
      </w:r>
      <w:r>
        <w:rPr>
          <w:b/>
          <w:lang w:val="en-US"/>
        </w:rPr>
        <w:t>,</w:t>
      </w:r>
    </w:p>
    <w:p w:rsidR="00CD2A80" w:rsidRDefault="00BA3B8F">
      <w:pPr>
        <w:jc w:val="center"/>
        <w:rPr>
          <w:lang w:val="en-US"/>
        </w:rPr>
      </w:pPr>
      <w:r>
        <w:rPr>
          <w:lang w:val="en-US"/>
        </w:rPr>
        <w:t xml:space="preserve">Minsk, </w:t>
      </w:r>
      <w:r w:rsidRPr="00BA3B8F">
        <w:rPr>
          <w:lang w:val="en-US"/>
        </w:rPr>
        <w:t>23-25 April 2024</w:t>
      </w:r>
    </w:p>
    <w:p w:rsidR="00CD2A80" w:rsidRDefault="00CD2A80">
      <w:pPr>
        <w:jc w:val="center"/>
        <w:rPr>
          <w:lang w:val="en-US"/>
        </w:rPr>
      </w:pPr>
    </w:p>
    <w:p w:rsidR="00CD2A80" w:rsidRPr="00BA3B8F" w:rsidRDefault="00BA3B8F">
      <w:pPr>
        <w:shd w:val="clear" w:color="auto" w:fill="FFFFFF"/>
        <w:ind w:left="11" w:right="6" w:firstLine="703"/>
        <w:jc w:val="both"/>
        <w:rPr>
          <w:bCs/>
          <w:color w:val="000000"/>
          <w:sz w:val="26"/>
          <w:szCs w:val="26"/>
          <w:lang w:val="en-US"/>
        </w:rPr>
      </w:pPr>
      <w:r w:rsidRPr="00BA3B8F">
        <w:rPr>
          <w:b/>
          <w:bCs/>
          <w:color w:val="000000"/>
          <w:sz w:val="26"/>
          <w:szCs w:val="26"/>
          <w:lang w:val="en-US"/>
        </w:rPr>
        <w:t>Abstracts</w:t>
      </w:r>
      <w:r w:rsidRPr="00BA3B8F">
        <w:rPr>
          <w:bCs/>
          <w:color w:val="000000"/>
          <w:sz w:val="26"/>
          <w:szCs w:val="26"/>
          <w:lang w:val="en-US"/>
        </w:rPr>
        <w:t xml:space="preserve"> in Russian or English languages are submitted via on-line system avail</w:t>
      </w:r>
      <w:r w:rsidRPr="00BA3B8F">
        <w:rPr>
          <w:bCs/>
          <w:color w:val="000000"/>
          <w:sz w:val="26"/>
          <w:szCs w:val="26"/>
          <w:lang w:val="en-US"/>
        </w:rPr>
        <w:t>a</w:t>
      </w:r>
      <w:r w:rsidRPr="00BA3B8F">
        <w:rPr>
          <w:bCs/>
          <w:color w:val="000000"/>
          <w:sz w:val="26"/>
          <w:szCs w:val="26"/>
          <w:lang w:val="en-US"/>
        </w:rPr>
        <w:t>ble at official website of the Institute of Microbiology, Belarus Academy of Sciences (</w:t>
      </w:r>
      <w:hyperlink r:id="rId6" w:history="1">
        <w:r w:rsidR="00BA6D56" w:rsidRPr="00BA3B8F">
          <w:rPr>
            <w:rStyle w:val="a3"/>
            <w:bCs/>
            <w:sz w:val="26"/>
            <w:szCs w:val="26"/>
            <w:lang w:val="en-US"/>
          </w:rPr>
          <w:t>https://mbio.bas-net.by/2024/submission_en.php</w:t>
        </w:r>
      </w:hyperlink>
      <w:r w:rsidRPr="00BA3B8F">
        <w:rPr>
          <w:bCs/>
          <w:color w:val="000000"/>
          <w:sz w:val="26"/>
          <w:szCs w:val="26"/>
          <w:lang w:val="en-US"/>
        </w:rPr>
        <w:t>)</w:t>
      </w:r>
      <w:r w:rsidRPr="00BA3B8F">
        <w:rPr>
          <w:color w:val="000000"/>
          <w:sz w:val="26"/>
          <w:szCs w:val="26"/>
          <w:lang w:val="en-US"/>
        </w:rPr>
        <w:t>.</w:t>
      </w:r>
    </w:p>
    <w:p w:rsidR="00CD2A80" w:rsidRPr="00BA3B8F" w:rsidRDefault="00BA3B8F">
      <w:pPr>
        <w:shd w:val="clear" w:color="auto" w:fill="FFFFFF"/>
        <w:ind w:right="6" w:firstLine="567"/>
        <w:jc w:val="both"/>
        <w:rPr>
          <w:color w:val="000000"/>
          <w:sz w:val="26"/>
          <w:szCs w:val="26"/>
          <w:lang w:val="en-US"/>
        </w:rPr>
      </w:pPr>
      <w:r w:rsidRPr="00BA3B8F">
        <w:rPr>
          <w:b/>
          <w:color w:val="000000"/>
          <w:sz w:val="26"/>
          <w:szCs w:val="26"/>
          <w:lang w:val="en-US"/>
        </w:rPr>
        <w:t xml:space="preserve">File size </w:t>
      </w:r>
      <w:r w:rsidRPr="00BA3B8F">
        <w:rPr>
          <w:color w:val="000000"/>
          <w:sz w:val="26"/>
          <w:szCs w:val="26"/>
          <w:lang w:val="en-US"/>
        </w:rPr>
        <w:t xml:space="preserve">up to 2 </w:t>
      </w:r>
      <w:r w:rsidRPr="00BA3B8F">
        <w:rPr>
          <w:color w:val="000000"/>
          <w:sz w:val="26"/>
          <w:szCs w:val="26"/>
        </w:rPr>
        <w:t>М</w:t>
      </w:r>
      <w:r w:rsidRPr="00BA3B8F">
        <w:rPr>
          <w:color w:val="000000"/>
          <w:sz w:val="26"/>
          <w:szCs w:val="26"/>
          <w:lang w:val="en-US"/>
        </w:rPr>
        <w:t>b.</w:t>
      </w:r>
    </w:p>
    <w:p w:rsidR="00CD2A80" w:rsidRPr="00BA3B8F" w:rsidRDefault="00BA3B8F">
      <w:pPr>
        <w:shd w:val="clear" w:color="auto" w:fill="FFFFFF"/>
        <w:ind w:left="11" w:right="6" w:firstLine="556"/>
        <w:jc w:val="both"/>
        <w:rPr>
          <w:color w:val="000000"/>
          <w:sz w:val="26"/>
          <w:szCs w:val="26"/>
          <w:lang w:val="en-US"/>
        </w:rPr>
      </w:pPr>
      <w:r w:rsidRPr="00BA3B8F">
        <w:rPr>
          <w:b/>
          <w:color w:val="000000"/>
          <w:sz w:val="26"/>
          <w:szCs w:val="26"/>
          <w:lang w:val="en-US"/>
        </w:rPr>
        <w:t>Abstract volume</w:t>
      </w:r>
      <w:r w:rsidRPr="00BA3B8F">
        <w:rPr>
          <w:color w:val="000000"/>
          <w:sz w:val="26"/>
          <w:szCs w:val="26"/>
          <w:lang w:val="en-US"/>
        </w:rPr>
        <w:t xml:space="preserve"> up to </w:t>
      </w:r>
      <w:r w:rsidRPr="00BA3B8F">
        <w:rPr>
          <w:b/>
          <w:color w:val="000000"/>
          <w:sz w:val="26"/>
          <w:szCs w:val="26"/>
          <w:lang w:val="en-US"/>
        </w:rPr>
        <w:t xml:space="preserve">2 </w:t>
      </w:r>
      <w:r w:rsidRPr="00BA3B8F">
        <w:rPr>
          <w:b/>
          <w:bCs/>
          <w:color w:val="000000"/>
          <w:sz w:val="26"/>
          <w:szCs w:val="26"/>
          <w:lang w:val="en-US"/>
        </w:rPr>
        <w:t xml:space="preserve">pages </w:t>
      </w:r>
      <w:r w:rsidRPr="00BA3B8F">
        <w:rPr>
          <w:bCs/>
          <w:color w:val="000000"/>
          <w:sz w:val="26"/>
          <w:szCs w:val="26"/>
          <w:lang w:val="en-US"/>
        </w:rPr>
        <w:t>processed in any text editor program with e</w:t>
      </w:r>
      <w:r w:rsidRPr="00BA3B8F">
        <w:rPr>
          <w:bCs/>
          <w:color w:val="000000"/>
          <w:sz w:val="26"/>
          <w:szCs w:val="26"/>
          <w:lang w:val="en-US"/>
        </w:rPr>
        <w:t>x</w:t>
      </w:r>
      <w:r w:rsidRPr="00BA3B8F">
        <w:rPr>
          <w:bCs/>
          <w:color w:val="000000"/>
          <w:sz w:val="26"/>
          <w:szCs w:val="26"/>
          <w:lang w:val="en-US"/>
        </w:rPr>
        <w:t xml:space="preserve">tensions </w:t>
      </w:r>
      <w:r w:rsidRPr="00BA3B8F">
        <w:rPr>
          <w:b/>
          <w:color w:val="000000"/>
          <w:sz w:val="26"/>
          <w:szCs w:val="26"/>
          <w:lang w:val="en-US"/>
        </w:rPr>
        <w:t>.doc, .</w:t>
      </w:r>
      <w:proofErr w:type="spellStart"/>
      <w:r w:rsidRPr="00BA3B8F">
        <w:rPr>
          <w:b/>
          <w:color w:val="000000"/>
          <w:sz w:val="26"/>
          <w:szCs w:val="26"/>
          <w:lang w:val="en-US"/>
        </w:rPr>
        <w:t>docx</w:t>
      </w:r>
      <w:proofErr w:type="spellEnd"/>
      <w:r w:rsidRPr="00BA3B8F">
        <w:rPr>
          <w:b/>
          <w:color w:val="000000"/>
          <w:sz w:val="26"/>
          <w:szCs w:val="26"/>
          <w:lang w:val="en-US"/>
        </w:rPr>
        <w:t>, .</w:t>
      </w:r>
      <w:proofErr w:type="spellStart"/>
      <w:r w:rsidRPr="00BA3B8F">
        <w:rPr>
          <w:b/>
          <w:color w:val="000000"/>
          <w:sz w:val="26"/>
          <w:szCs w:val="26"/>
          <w:lang w:val="en-US"/>
        </w:rPr>
        <w:t>odt</w:t>
      </w:r>
      <w:proofErr w:type="spellEnd"/>
      <w:r w:rsidRPr="00BA3B8F">
        <w:rPr>
          <w:color w:val="000000"/>
          <w:sz w:val="26"/>
          <w:szCs w:val="26"/>
          <w:lang w:val="en-US"/>
        </w:rPr>
        <w:t xml:space="preserve"> or </w:t>
      </w:r>
      <w:r w:rsidRPr="00BA3B8F">
        <w:rPr>
          <w:b/>
          <w:color w:val="000000"/>
          <w:sz w:val="26"/>
          <w:szCs w:val="26"/>
          <w:lang w:val="en-US"/>
        </w:rPr>
        <w:t>.rtf</w:t>
      </w:r>
      <w:r w:rsidRPr="00BA3B8F">
        <w:rPr>
          <w:color w:val="000000"/>
          <w:sz w:val="26"/>
          <w:szCs w:val="26"/>
          <w:lang w:val="en-US"/>
        </w:rPr>
        <w:t>.</w:t>
      </w:r>
    </w:p>
    <w:p w:rsidR="00CD2A80" w:rsidRPr="00BA3B8F" w:rsidRDefault="00BA3B8F">
      <w:pPr>
        <w:shd w:val="clear" w:color="auto" w:fill="FFFFFF"/>
        <w:ind w:firstLine="556"/>
        <w:jc w:val="both"/>
        <w:rPr>
          <w:color w:val="000000"/>
          <w:sz w:val="26"/>
          <w:szCs w:val="26"/>
          <w:lang w:val="en-US"/>
        </w:rPr>
      </w:pPr>
      <w:r w:rsidRPr="00BA3B8F">
        <w:rPr>
          <w:b/>
          <w:color w:val="000000"/>
          <w:sz w:val="26"/>
          <w:szCs w:val="26"/>
          <w:lang w:val="en-US"/>
        </w:rPr>
        <w:t>Paper sheet size</w:t>
      </w:r>
      <w:r w:rsidRPr="00BA3B8F">
        <w:rPr>
          <w:color w:val="000000"/>
          <w:sz w:val="26"/>
          <w:szCs w:val="26"/>
          <w:lang w:val="en-US"/>
        </w:rPr>
        <w:t xml:space="preserve"> </w:t>
      </w:r>
      <w:r w:rsidRPr="00BA3B8F">
        <w:rPr>
          <w:bCs/>
          <w:color w:val="000000"/>
          <w:sz w:val="26"/>
          <w:szCs w:val="26"/>
        </w:rPr>
        <w:t>А</w:t>
      </w:r>
      <w:r w:rsidRPr="00BA3B8F">
        <w:rPr>
          <w:bCs/>
          <w:color w:val="000000"/>
          <w:sz w:val="26"/>
          <w:szCs w:val="26"/>
          <w:lang w:val="en-US"/>
        </w:rPr>
        <w:t>4</w:t>
      </w:r>
      <w:r w:rsidRPr="00BA3B8F">
        <w:rPr>
          <w:color w:val="000000"/>
          <w:sz w:val="26"/>
          <w:szCs w:val="26"/>
          <w:lang w:val="en-US"/>
        </w:rPr>
        <w:t xml:space="preserve"> (</w:t>
      </w:r>
      <w:r w:rsidRPr="00BA3B8F">
        <w:rPr>
          <w:bCs/>
          <w:color w:val="000000"/>
          <w:sz w:val="26"/>
          <w:szCs w:val="26"/>
          <w:lang w:val="en-US"/>
        </w:rPr>
        <w:t>297 </w:t>
      </w:r>
      <w:r w:rsidRPr="00BA3B8F">
        <w:rPr>
          <w:color w:val="000000"/>
          <w:sz w:val="26"/>
          <w:szCs w:val="26"/>
          <w:lang w:val="en-US"/>
        </w:rPr>
        <w:t>× </w:t>
      </w:r>
      <w:r w:rsidRPr="00BA3B8F">
        <w:rPr>
          <w:bCs/>
          <w:color w:val="000000"/>
          <w:sz w:val="26"/>
          <w:szCs w:val="26"/>
          <w:lang w:val="en-US"/>
        </w:rPr>
        <w:t>210</w:t>
      </w:r>
      <w:r w:rsidRPr="00BA3B8F">
        <w:rPr>
          <w:color w:val="000000"/>
          <w:sz w:val="26"/>
          <w:szCs w:val="26"/>
          <w:lang w:val="en-US"/>
        </w:rPr>
        <w:t xml:space="preserve"> mm), book orientation, margins 20 mm, </w:t>
      </w:r>
      <w:r w:rsidRPr="00BA3B8F">
        <w:rPr>
          <w:bCs/>
          <w:color w:val="000000"/>
          <w:sz w:val="26"/>
          <w:szCs w:val="26"/>
          <w:lang w:val="en-US"/>
        </w:rPr>
        <w:t>i</w:t>
      </w:r>
      <w:r w:rsidRPr="00BA3B8F">
        <w:rPr>
          <w:bCs/>
          <w:color w:val="000000"/>
          <w:sz w:val="26"/>
          <w:szCs w:val="26"/>
          <w:lang w:val="en-US"/>
        </w:rPr>
        <w:t>n</w:t>
      </w:r>
      <w:r w:rsidRPr="00BA3B8F">
        <w:rPr>
          <w:bCs/>
          <w:color w:val="000000"/>
          <w:sz w:val="26"/>
          <w:szCs w:val="26"/>
          <w:lang w:val="en-US"/>
        </w:rPr>
        <w:t>de</w:t>
      </w:r>
      <w:r w:rsidRPr="00BA3B8F">
        <w:rPr>
          <w:bCs/>
          <w:color w:val="000000"/>
          <w:sz w:val="26"/>
          <w:szCs w:val="26"/>
          <w:lang w:val="en-US"/>
        </w:rPr>
        <w:t>n</w:t>
      </w:r>
      <w:r w:rsidRPr="00BA3B8F">
        <w:rPr>
          <w:bCs/>
          <w:color w:val="000000"/>
          <w:sz w:val="26"/>
          <w:szCs w:val="26"/>
          <w:lang w:val="en-US"/>
        </w:rPr>
        <w:t xml:space="preserve">tation </w:t>
      </w:r>
      <w:r w:rsidRPr="00BA3B8F">
        <w:rPr>
          <w:color w:val="000000"/>
          <w:sz w:val="26"/>
          <w:szCs w:val="26"/>
          <w:lang w:val="en-US"/>
        </w:rPr>
        <w:t>10 </w:t>
      </w:r>
      <w:r w:rsidRPr="00BA3B8F">
        <w:rPr>
          <w:bCs/>
          <w:color w:val="000000"/>
          <w:sz w:val="26"/>
          <w:szCs w:val="26"/>
          <w:lang w:val="en-US"/>
        </w:rPr>
        <w:t>mm,</w:t>
      </w:r>
      <w:r w:rsidRPr="00BA3B8F">
        <w:rPr>
          <w:color w:val="000000"/>
          <w:sz w:val="26"/>
          <w:szCs w:val="26"/>
          <w:lang w:val="en-US"/>
        </w:rPr>
        <w:t xml:space="preserve"> justified </w:t>
      </w:r>
      <w:r w:rsidRPr="00BA3B8F">
        <w:rPr>
          <w:color w:val="000000"/>
          <w:sz w:val="26"/>
          <w:szCs w:val="26"/>
          <w:lang w:val="en-US"/>
        </w:rPr>
        <w:t>alignment.</w:t>
      </w:r>
    </w:p>
    <w:p w:rsidR="00CD2A80" w:rsidRPr="00BA3B8F" w:rsidRDefault="00BA3B8F">
      <w:pPr>
        <w:shd w:val="clear" w:color="auto" w:fill="FFFFFF"/>
        <w:ind w:firstLine="556"/>
        <w:jc w:val="both"/>
        <w:rPr>
          <w:sz w:val="26"/>
          <w:szCs w:val="26"/>
          <w:lang w:val="en-US"/>
        </w:rPr>
      </w:pPr>
      <w:r w:rsidRPr="00BA3B8F">
        <w:rPr>
          <w:b/>
          <w:color w:val="000000"/>
          <w:sz w:val="26"/>
          <w:szCs w:val="26"/>
          <w:lang w:val="en-US"/>
        </w:rPr>
        <w:t xml:space="preserve">Font </w:t>
      </w:r>
      <w:r w:rsidRPr="00BA3B8F">
        <w:rPr>
          <w:color w:val="000000"/>
          <w:sz w:val="26"/>
          <w:szCs w:val="26"/>
          <w:lang w:val="en-US"/>
        </w:rPr>
        <w:t>Times New Roman, 14 </w:t>
      </w:r>
      <w:proofErr w:type="spellStart"/>
      <w:r w:rsidRPr="00BA3B8F">
        <w:rPr>
          <w:color w:val="000000"/>
          <w:sz w:val="26"/>
          <w:szCs w:val="26"/>
          <w:lang w:val="en-US"/>
        </w:rPr>
        <w:t>pt</w:t>
      </w:r>
      <w:proofErr w:type="spellEnd"/>
      <w:r w:rsidRPr="00BA3B8F">
        <w:rPr>
          <w:color w:val="000000"/>
          <w:sz w:val="26"/>
          <w:szCs w:val="26"/>
          <w:lang w:val="en-US"/>
        </w:rPr>
        <w:t>, line spacing 18 pt. Automatic word hyphen</w:t>
      </w:r>
      <w:r w:rsidRPr="00BA3B8F">
        <w:rPr>
          <w:color w:val="000000"/>
          <w:sz w:val="26"/>
          <w:szCs w:val="26"/>
          <w:lang w:val="en-US"/>
        </w:rPr>
        <w:t>a</w:t>
      </w:r>
      <w:r w:rsidRPr="00BA3B8F">
        <w:rPr>
          <w:color w:val="000000"/>
          <w:sz w:val="26"/>
          <w:szCs w:val="26"/>
          <w:lang w:val="en-US"/>
        </w:rPr>
        <w:t xml:space="preserve">tion at line ends is </w:t>
      </w:r>
      <w:r w:rsidRPr="00BA3B8F">
        <w:rPr>
          <w:color w:val="000000"/>
          <w:sz w:val="26"/>
          <w:szCs w:val="26"/>
          <w:lang w:val="en-US"/>
        </w:rPr>
        <w:t>mandatory</w:t>
      </w:r>
      <w:r w:rsidRPr="00BA3B8F">
        <w:rPr>
          <w:color w:val="000000"/>
          <w:sz w:val="26"/>
          <w:szCs w:val="26"/>
          <w:lang w:val="en-US"/>
        </w:rPr>
        <w:t>. The pages are not numbered.</w:t>
      </w:r>
    </w:p>
    <w:p w:rsidR="00CD2A80" w:rsidRPr="00BA3B8F" w:rsidRDefault="00BA3B8F">
      <w:pPr>
        <w:ind w:firstLine="567"/>
        <w:jc w:val="both"/>
        <w:rPr>
          <w:sz w:val="26"/>
          <w:szCs w:val="26"/>
          <w:lang w:val="en-US"/>
        </w:rPr>
      </w:pPr>
      <w:r w:rsidRPr="00BA3B8F">
        <w:rPr>
          <w:b/>
          <w:sz w:val="26"/>
          <w:szCs w:val="26"/>
          <w:lang w:val="en-US"/>
        </w:rPr>
        <w:t>Abstract title:</w:t>
      </w:r>
      <w:r w:rsidRPr="00BA3B8F">
        <w:rPr>
          <w:sz w:val="26"/>
          <w:szCs w:val="26"/>
          <w:lang w:val="en-US"/>
        </w:rPr>
        <w:t xml:space="preserve"> </w:t>
      </w:r>
      <w:r w:rsidRPr="00BA3B8F">
        <w:rPr>
          <w:color w:val="000000"/>
          <w:sz w:val="26"/>
          <w:szCs w:val="26"/>
          <w:lang w:val="en-US"/>
        </w:rPr>
        <w:t>Times New Roman font, 17 </w:t>
      </w:r>
      <w:proofErr w:type="spellStart"/>
      <w:r w:rsidRPr="00BA3B8F">
        <w:rPr>
          <w:color w:val="000000"/>
          <w:sz w:val="26"/>
          <w:szCs w:val="26"/>
          <w:lang w:val="en-US"/>
        </w:rPr>
        <w:t>pt</w:t>
      </w:r>
      <w:proofErr w:type="spellEnd"/>
      <w:r w:rsidRPr="00BA3B8F">
        <w:rPr>
          <w:color w:val="000000"/>
          <w:sz w:val="26"/>
          <w:szCs w:val="26"/>
          <w:lang w:val="en-US"/>
        </w:rPr>
        <w:t xml:space="preserve">, </w:t>
      </w:r>
      <w:r w:rsidRPr="00BA3B8F">
        <w:rPr>
          <w:sz w:val="26"/>
          <w:szCs w:val="26"/>
          <w:lang w:val="en-US"/>
        </w:rPr>
        <w:t xml:space="preserve">bold typeface, left alignment. </w:t>
      </w:r>
      <w:r w:rsidRPr="00BA3B8F">
        <w:rPr>
          <w:b/>
          <w:sz w:val="26"/>
          <w:szCs w:val="26"/>
          <w:lang w:val="en-US"/>
        </w:rPr>
        <w:t>Su</w:t>
      </w:r>
      <w:r w:rsidRPr="00BA3B8F">
        <w:rPr>
          <w:b/>
          <w:sz w:val="26"/>
          <w:szCs w:val="26"/>
          <w:lang w:val="en-US"/>
        </w:rPr>
        <w:t>r</w:t>
      </w:r>
      <w:r w:rsidRPr="00BA3B8F">
        <w:rPr>
          <w:b/>
          <w:sz w:val="26"/>
          <w:szCs w:val="26"/>
          <w:lang w:val="en-US"/>
        </w:rPr>
        <w:t>names and initials of the authors:</w:t>
      </w:r>
      <w:r w:rsidRPr="00BA3B8F">
        <w:rPr>
          <w:sz w:val="26"/>
          <w:szCs w:val="26"/>
          <w:lang w:val="en-US"/>
        </w:rPr>
        <w:t xml:space="preserve"> </w:t>
      </w:r>
      <w:r w:rsidRPr="00BA3B8F">
        <w:rPr>
          <w:color w:val="000000"/>
          <w:sz w:val="26"/>
          <w:szCs w:val="26"/>
          <w:lang w:val="en-US"/>
        </w:rPr>
        <w:t>Times New Roman font,</w:t>
      </w:r>
      <w:r w:rsidRPr="00BA3B8F">
        <w:rPr>
          <w:sz w:val="26"/>
          <w:szCs w:val="26"/>
          <w:lang w:val="en-US"/>
        </w:rPr>
        <w:t xml:space="preserve"> 14 </w:t>
      </w:r>
      <w:proofErr w:type="spellStart"/>
      <w:r w:rsidRPr="00BA3B8F">
        <w:rPr>
          <w:sz w:val="26"/>
          <w:szCs w:val="26"/>
          <w:lang w:val="en-US"/>
        </w:rPr>
        <w:t>pt</w:t>
      </w:r>
      <w:proofErr w:type="spellEnd"/>
      <w:r w:rsidRPr="00BA3B8F">
        <w:rPr>
          <w:sz w:val="26"/>
          <w:szCs w:val="26"/>
          <w:lang w:val="en-US"/>
        </w:rPr>
        <w:t>, bold typ</w:t>
      </w:r>
      <w:r w:rsidRPr="00BA3B8F">
        <w:rPr>
          <w:sz w:val="26"/>
          <w:szCs w:val="26"/>
          <w:lang w:val="en-US"/>
        </w:rPr>
        <w:t>e</w:t>
      </w:r>
      <w:r w:rsidRPr="00BA3B8F">
        <w:rPr>
          <w:sz w:val="26"/>
          <w:szCs w:val="26"/>
          <w:lang w:val="en-US"/>
        </w:rPr>
        <w:t xml:space="preserve">face, left alignment. </w:t>
      </w:r>
      <w:r w:rsidRPr="00BA3B8F">
        <w:rPr>
          <w:b/>
          <w:sz w:val="26"/>
          <w:szCs w:val="26"/>
          <w:lang w:val="en-US"/>
        </w:rPr>
        <w:t>Name of the Institution:</w:t>
      </w:r>
      <w:r w:rsidRPr="00BA3B8F">
        <w:rPr>
          <w:sz w:val="26"/>
          <w:szCs w:val="26"/>
          <w:lang w:val="en-US"/>
        </w:rPr>
        <w:t xml:space="preserve"> </w:t>
      </w:r>
      <w:r w:rsidRPr="00BA3B8F">
        <w:rPr>
          <w:color w:val="000000"/>
          <w:sz w:val="26"/>
          <w:szCs w:val="26"/>
          <w:lang w:val="en-US"/>
        </w:rPr>
        <w:t>Times New Roman</w:t>
      </w:r>
      <w:r w:rsidRPr="00BA3B8F">
        <w:rPr>
          <w:sz w:val="26"/>
          <w:szCs w:val="26"/>
          <w:lang w:val="en-US"/>
        </w:rPr>
        <w:t xml:space="preserve"> font, 13 </w:t>
      </w:r>
      <w:proofErr w:type="spellStart"/>
      <w:r w:rsidRPr="00BA3B8F">
        <w:rPr>
          <w:sz w:val="26"/>
          <w:szCs w:val="26"/>
          <w:lang w:val="en-US"/>
        </w:rPr>
        <w:t>pt</w:t>
      </w:r>
      <w:proofErr w:type="spellEnd"/>
      <w:r w:rsidRPr="00BA3B8F">
        <w:rPr>
          <w:sz w:val="26"/>
          <w:szCs w:val="26"/>
          <w:lang w:val="en-US"/>
        </w:rPr>
        <w:t>, italic typeface, left alignment.</w:t>
      </w:r>
    </w:p>
    <w:p w:rsidR="00CD2A80" w:rsidRPr="00BA3B8F" w:rsidRDefault="00BA3B8F">
      <w:pPr>
        <w:ind w:firstLine="567"/>
        <w:jc w:val="both"/>
        <w:rPr>
          <w:sz w:val="26"/>
          <w:szCs w:val="26"/>
          <w:lang w:val="en-US"/>
        </w:rPr>
      </w:pPr>
      <w:r w:rsidRPr="00BA3B8F">
        <w:rPr>
          <w:b/>
          <w:color w:val="000000"/>
          <w:sz w:val="26"/>
          <w:szCs w:val="26"/>
          <w:lang w:val="en-US"/>
        </w:rPr>
        <w:t xml:space="preserve">Tables </w:t>
      </w:r>
      <w:r w:rsidRPr="00BA3B8F">
        <w:rPr>
          <w:color w:val="000000"/>
          <w:sz w:val="26"/>
          <w:szCs w:val="26"/>
          <w:lang w:val="en-US"/>
        </w:rPr>
        <w:t>are generated via Table option and their content is formed using font Times New Roman 12 </w:t>
      </w:r>
      <w:proofErr w:type="spellStart"/>
      <w:r w:rsidRPr="00BA3B8F">
        <w:rPr>
          <w:color w:val="000000"/>
          <w:sz w:val="26"/>
          <w:szCs w:val="26"/>
          <w:lang w:val="en-US"/>
        </w:rPr>
        <w:t>pt</w:t>
      </w:r>
      <w:proofErr w:type="spellEnd"/>
      <w:r w:rsidRPr="00BA3B8F">
        <w:rPr>
          <w:color w:val="000000"/>
          <w:sz w:val="26"/>
          <w:szCs w:val="26"/>
          <w:lang w:val="en-US"/>
        </w:rPr>
        <w:t>, at ordina</w:t>
      </w:r>
      <w:r w:rsidRPr="00BA3B8F">
        <w:rPr>
          <w:color w:val="000000"/>
          <w:sz w:val="26"/>
          <w:szCs w:val="26"/>
          <w:lang w:val="en-US"/>
        </w:rPr>
        <w:t>ry spacing. Table heading specifications: Times New Roman 14 </w:t>
      </w:r>
      <w:proofErr w:type="spellStart"/>
      <w:r w:rsidRPr="00BA3B8F">
        <w:rPr>
          <w:color w:val="000000"/>
          <w:sz w:val="26"/>
          <w:szCs w:val="26"/>
          <w:lang w:val="en-US"/>
        </w:rPr>
        <w:t>pt</w:t>
      </w:r>
      <w:proofErr w:type="spellEnd"/>
      <w:r w:rsidRPr="00BA3B8F">
        <w:rPr>
          <w:color w:val="000000"/>
          <w:sz w:val="26"/>
          <w:szCs w:val="26"/>
          <w:lang w:val="en-US"/>
        </w:rPr>
        <w:t xml:space="preserve"> font, ordinary spacing, left alignment.</w:t>
      </w:r>
    </w:p>
    <w:p w:rsidR="00CD2A80" w:rsidRPr="00BA3B8F" w:rsidRDefault="00BA3B8F">
      <w:pPr>
        <w:ind w:firstLine="567"/>
        <w:jc w:val="both"/>
        <w:rPr>
          <w:color w:val="000000"/>
          <w:sz w:val="26"/>
          <w:szCs w:val="26"/>
          <w:lang w:val="en-US"/>
        </w:rPr>
      </w:pPr>
      <w:r w:rsidRPr="00BA3B8F">
        <w:rPr>
          <w:b/>
          <w:color w:val="000000"/>
          <w:sz w:val="26"/>
          <w:szCs w:val="26"/>
          <w:lang w:val="en-US"/>
        </w:rPr>
        <w:t>Figures</w:t>
      </w:r>
      <w:r w:rsidRPr="00BA3B8F">
        <w:rPr>
          <w:color w:val="000000"/>
          <w:sz w:val="26"/>
          <w:szCs w:val="26"/>
          <w:lang w:val="en-US"/>
        </w:rPr>
        <w:t xml:space="preserve"> must be of </w:t>
      </w:r>
      <w:r w:rsidRPr="00BA3B8F">
        <w:rPr>
          <w:color w:val="000000"/>
          <w:sz w:val="26"/>
          <w:szCs w:val="26"/>
          <w:lang w:val="en-US"/>
        </w:rPr>
        <w:t>reasonable</w:t>
      </w:r>
      <w:r w:rsidRPr="00BA3B8F">
        <w:rPr>
          <w:color w:val="000000"/>
          <w:sz w:val="26"/>
          <w:szCs w:val="26"/>
          <w:lang w:val="en-US"/>
        </w:rPr>
        <w:t xml:space="preserve"> size and quality </w:t>
      </w:r>
      <w:r w:rsidRPr="00BA3B8F">
        <w:rPr>
          <w:color w:val="000000"/>
          <w:sz w:val="26"/>
          <w:szCs w:val="26"/>
          <w:lang w:val="en-US"/>
        </w:rPr>
        <w:t>to</w:t>
      </w:r>
      <w:r w:rsidRPr="00BA3B8F">
        <w:rPr>
          <w:color w:val="000000"/>
          <w:sz w:val="26"/>
          <w:szCs w:val="26"/>
          <w:lang w:val="en-US"/>
        </w:rPr>
        <w:t xml:space="preserve"> view. Composite figures should be grouped. Capture of the figure should be typed in Times New Roman 14</w:t>
      </w:r>
      <w:r w:rsidRPr="00BA3B8F">
        <w:rPr>
          <w:color w:val="000000"/>
          <w:sz w:val="26"/>
          <w:szCs w:val="26"/>
          <w:lang w:val="en-US"/>
        </w:rPr>
        <w:t> </w:t>
      </w:r>
      <w:proofErr w:type="spellStart"/>
      <w:r w:rsidRPr="00BA3B8F">
        <w:rPr>
          <w:color w:val="000000"/>
          <w:sz w:val="26"/>
          <w:szCs w:val="26"/>
          <w:lang w:val="en-US"/>
        </w:rPr>
        <w:t>pt</w:t>
      </w:r>
      <w:proofErr w:type="spellEnd"/>
      <w:r w:rsidRPr="00BA3B8F">
        <w:rPr>
          <w:color w:val="000000"/>
          <w:sz w:val="26"/>
          <w:szCs w:val="26"/>
          <w:lang w:val="en-US"/>
        </w:rPr>
        <w:t>, bold typeface, at ordinary spacing, center align</w:t>
      </w:r>
      <w:r w:rsidRPr="00BA3B8F">
        <w:rPr>
          <w:color w:val="000000"/>
          <w:sz w:val="26"/>
          <w:szCs w:val="26"/>
          <w:lang w:val="en-US"/>
        </w:rPr>
        <w:t>ment</w:t>
      </w:r>
      <w:r w:rsidRPr="00BA3B8F">
        <w:rPr>
          <w:color w:val="000000"/>
          <w:sz w:val="26"/>
          <w:szCs w:val="26"/>
          <w:lang w:val="en-US"/>
        </w:rPr>
        <w:t xml:space="preserve">. </w:t>
      </w:r>
      <w:r w:rsidRPr="00BA3B8F">
        <w:rPr>
          <w:color w:val="000000"/>
          <w:sz w:val="26"/>
          <w:szCs w:val="26"/>
          <w:lang w:val="en-US"/>
        </w:rPr>
        <w:t>Figure legends should be</w:t>
      </w:r>
      <w:r w:rsidRPr="00BA3B8F">
        <w:rPr>
          <w:color w:val="000000"/>
          <w:sz w:val="26"/>
          <w:szCs w:val="26"/>
          <w:lang w:val="en-US"/>
        </w:rPr>
        <w:t xml:space="preserve"> typed in Times New R</w:t>
      </w:r>
      <w:r w:rsidRPr="00BA3B8F">
        <w:rPr>
          <w:color w:val="000000"/>
          <w:sz w:val="26"/>
          <w:szCs w:val="26"/>
          <w:lang w:val="en-US"/>
        </w:rPr>
        <w:t>o</w:t>
      </w:r>
      <w:r w:rsidRPr="00BA3B8F">
        <w:rPr>
          <w:color w:val="000000"/>
          <w:sz w:val="26"/>
          <w:szCs w:val="26"/>
          <w:lang w:val="en-US"/>
        </w:rPr>
        <w:t>man, 12 </w:t>
      </w:r>
      <w:proofErr w:type="spellStart"/>
      <w:r w:rsidRPr="00BA3B8F">
        <w:rPr>
          <w:color w:val="000000"/>
          <w:sz w:val="26"/>
          <w:szCs w:val="26"/>
          <w:lang w:val="en-US"/>
        </w:rPr>
        <w:t>pt</w:t>
      </w:r>
      <w:proofErr w:type="spellEnd"/>
      <w:r w:rsidRPr="00BA3B8F">
        <w:rPr>
          <w:color w:val="000000"/>
          <w:sz w:val="26"/>
          <w:szCs w:val="26"/>
          <w:lang w:val="en-US"/>
        </w:rPr>
        <w:t>, ordinary spacing, placed between the figure and its capture.</w:t>
      </w:r>
    </w:p>
    <w:p w:rsidR="00CD2A80" w:rsidRPr="00BA3B8F" w:rsidRDefault="00BA3B8F">
      <w:pPr>
        <w:shd w:val="clear" w:color="auto" w:fill="FFFFFF"/>
        <w:ind w:firstLine="698"/>
        <w:jc w:val="both"/>
        <w:rPr>
          <w:b/>
          <w:bCs/>
          <w:color w:val="000000"/>
          <w:sz w:val="26"/>
          <w:szCs w:val="26"/>
          <w:lang w:val="en-US"/>
        </w:rPr>
      </w:pPr>
      <w:r w:rsidRPr="00BA3B8F">
        <w:rPr>
          <w:b/>
          <w:color w:val="000000"/>
          <w:sz w:val="26"/>
          <w:szCs w:val="26"/>
          <w:lang w:val="en-US"/>
        </w:rPr>
        <w:t xml:space="preserve">References </w:t>
      </w:r>
      <w:r w:rsidRPr="00BA3B8F">
        <w:rPr>
          <w:color w:val="000000"/>
          <w:sz w:val="26"/>
          <w:szCs w:val="26"/>
          <w:lang w:val="en-US"/>
        </w:rPr>
        <w:t>numbered sequentially in the order of their citation in the text are i</w:t>
      </w:r>
      <w:r w:rsidRPr="00BA3B8F">
        <w:rPr>
          <w:color w:val="000000"/>
          <w:sz w:val="26"/>
          <w:szCs w:val="26"/>
          <w:lang w:val="en-US"/>
        </w:rPr>
        <w:t>n</w:t>
      </w:r>
      <w:r w:rsidRPr="00BA3B8F">
        <w:rPr>
          <w:color w:val="000000"/>
          <w:sz w:val="26"/>
          <w:szCs w:val="26"/>
          <w:lang w:val="en-US"/>
        </w:rPr>
        <w:t xml:space="preserve">serted </w:t>
      </w:r>
      <w:r w:rsidRPr="00BA3B8F">
        <w:rPr>
          <w:color w:val="000000"/>
          <w:sz w:val="26"/>
          <w:szCs w:val="26"/>
          <w:lang w:val="en-US"/>
        </w:rPr>
        <w:t>within</w:t>
      </w:r>
      <w:r w:rsidRPr="00BA3B8F">
        <w:rPr>
          <w:color w:val="000000"/>
          <w:sz w:val="26"/>
          <w:szCs w:val="26"/>
          <w:lang w:val="en-US"/>
        </w:rPr>
        <w:t xml:space="preserve"> square brackets. The list of references finalizing the abstract is pe</w:t>
      </w:r>
      <w:r w:rsidRPr="00BA3B8F">
        <w:rPr>
          <w:color w:val="000000"/>
          <w:sz w:val="26"/>
          <w:szCs w:val="26"/>
          <w:lang w:val="en-US"/>
        </w:rPr>
        <w:t>r</w:t>
      </w:r>
      <w:r w:rsidRPr="00BA3B8F">
        <w:rPr>
          <w:color w:val="000000"/>
          <w:sz w:val="26"/>
          <w:szCs w:val="26"/>
          <w:lang w:val="en-US"/>
        </w:rPr>
        <w:t>formed in Times New Roman 12 </w:t>
      </w:r>
      <w:proofErr w:type="spellStart"/>
      <w:r w:rsidRPr="00BA3B8F">
        <w:rPr>
          <w:color w:val="000000"/>
          <w:sz w:val="26"/>
          <w:szCs w:val="26"/>
          <w:lang w:val="en-US"/>
        </w:rPr>
        <w:t>pt</w:t>
      </w:r>
      <w:proofErr w:type="spellEnd"/>
      <w:r w:rsidRPr="00BA3B8F">
        <w:rPr>
          <w:color w:val="000000"/>
          <w:sz w:val="26"/>
          <w:szCs w:val="26"/>
          <w:lang w:val="en-US"/>
        </w:rPr>
        <w:t xml:space="preserve"> at ordinary spacing, left alignment (citation style according to Rule</w:t>
      </w:r>
      <w:r w:rsidRPr="00BA3B8F">
        <w:rPr>
          <w:color w:val="000000"/>
          <w:sz w:val="26"/>
          <w:szCs w:val="26"/>
          <w:lang w:val="en-US"/>
        </w:rPr>
        <w:t xml:space="preserve">s of </w:t>
      </w:r>
      <w:r w:rsidRPr="00BA3B8F">
        <w:rPr>
          <w:color w:val="000000"/>
          <w:sz w:val="26"/>
          <w:szCs w:val="26"/>
          <w:lang w:val="en-US"/>
        </w:rPr>
        <w:t xml:space="preserve">Supreme Attestation Commission of the Republic of Belarus: </w:t>
      </w:r>
      <w:hyperlink r:id="rId7">
        <w:r w:rsidRPr="00BA3B8F">
          <w:rPr>
            <w:rStyle w:val="a3"/>
            <w:color w:val="000000"/>
            <w:sz w:val="26"/>
            <w:szCs w:val="26"/>
            <w:lang w:val="en-US"/>
          </w:rPr>
          <w:t>https://vak.gov.by/en/bibliographicDescription</w:t>
        </w:r>
      </w:hyperlink>
      <w:r w:rsidRPr="00BA3B8F">
        <w:rPr>
          <w:color w:val="000000"/>
          <w:sz w:val="26"/>
          <w:szCs w:val="26"/>
          <w:lang w:val="en-US"/>
        </w:rPr>
        <w:t>. We encourage you to ge</w:t>
      </w:r>
      <w:r w:rsidRPr="00BA3B8F">
        <w:rPr>
          <w:color w:val="000000"/>
          <w:sz w:val="26"/>
          <w:szCs w:val="26"/>
          <w:lang w:val="en-US"/>
        </w:rPr>
        <w:t>n</w:t>
      </w:r>
      <w:r w:rsidRPr="00BA3B8F">
        <w:rPr>
          <w:color w:val="000000"/>
          <w:sz w:val="26"/>
          <w:szCs w:val="26"/>
          <w:lang w:val="en-US"/>
        </w:rPr>
        <w:t xml:space="preserve">erate reference lists automatically using </w:t>
      </w:r>
      <w:proofErr w:type="spellStart"/>
      <w:r w:rsidRPr="00BA3B8F">
        <w:rPr>
          <w:color w:val="000000"/>
          <w:sz w:val="26"/>
          <w:szCs w:val="26"/>
          <w:lang w:val="en-US"/>
        </w:rPr>
        <w:t>Zotero</w:t>
      </w:r>
      <w:proofErr w:type="spellEnd"/>
      <w:r w:rsidRPr="00BA3B8F">
        <w:rPr>
          <w:color w:val="000000"/>
          <w:sz w:val="26"/>
          <w:szCs w:val="26"/>
          <w:lang w:val="en-US"/>
        </w:rPr>
        <w:t xml:space="preserve"> progra</w:t>
      </w:r>
      <w:r w:rsidRPr="00BA3B8F">
        <w:rPr>
          <w:color w:val="000000"/>
          <w:sz w:val="26"/>
          <w:szCs w:val="26"/>
          <w:lang w:val="en-US"/>
        </w:rPr>
        <w:t>m and the VAK9 citation style for it (</w:t>
      </w:r>
      <w:hyperlink r:id="rId8">
        <w:r w:rsidRPr="00BA3B8F">
          <w:rPr>
            <w:rStyle w:val="a3"/>
            <w:color w:val="000000"/>
            <w:sz w:val="26"/>
            <w:szCs w:val="26"/>
            <w:lang w:val="en-US"/>
          </w:rPr>
          <w:t>http://bio.bsu.by/temp/zotero/gost-r-7-0-5-2008-VAK9.csl</w:t>
        </w:r>
      </w:hyperlink>
      <w:r w:rsidRPr="00BA3B8F">
        <w:rPr>
          <w:color w:val="000000"/>
          <w:sz w:val="26"/>
          <w:szCs w:val="26"/>
          <w:lang w:val="en-US"/>
        </w:rPr>
        <w:t>).</w:t>
      </w:r>
    </w:p>
    <w:p w:rsidR="00CD2A80" w:rsidRPr="00BA3B8F" w:rsidRDefault="00BA3B8F">
      <w:pPr>
        <w:shd w:val="clear" w:color="auto" w:fill="FFFFFF"/>
        <w:ind w:firstLine="567"/>
        <w:jc w:val="both"/>
        <w:rPr>
          <w:sz w:val="26"/>
          <w:szCs w:val="26"/>
          <w:lang w:val="en-US"/>
        </w:rPr>
      </w:pPr>
      <w:r w:rsidRPr="00BA3B8F">
        <w:rPr>
          <w:b/>
          <w:bCs/>
          <w:color w:val="000000"/>
          <w:sz w:val="26"/>
          <w:szCs w:val="26"/>
          <w:lang w:val="en-US"/>
        </w:rPr>
        <w:t>Special</w:t>
      </w:r>
      <w:r w:rsidRPr="00BA3B8F">
        <w:rPr>
          <w:b/>
          <w:bCs/>
          <w:color w:val="000000"/>
          <w:sz w:val="26"/>
          <w:szCs w:val="26"/>
          <w:lang w:val="en-US"/>
        </w:rPr>
        <w:t xml:space="preserve"> symbols</w:t>
      </w:r>
      <w:r w:rsidRPr="00BA3B8F">
        <w:rPr>
          <w:color w:val="000000"/>
          <w:sz w:val="26"/>
          <w:szCs w:val="26"/>
          <w:lang w:val="en-US"/>
        </w:rPr>
        <w:t xml:space="preserve"> (e.g. </w:t>
      </w:r>
      <w:r w:rsidRPr="00BA3B8F">
        <w:rPr>
          <w:color w:val="000000"/>
          <w:sz w:val="26"/>
          <w:szCs w:val="26"/>
        </w:rPr>
        <w:t>β</w:t>
      </w:r>
      <w:r w:rsidRPr="00BA3B8F">
        <w:rPr>
          <w:color w:val="000000"/>
          <w:sz w:val="26"/>
          <w:szCs w:val="26"/>
          <w:lang w:val="en-US"/>
        </w:rPr>
        <w:t xml:space="preserve">, </w:t>
      </w:r>
      <w:r w:rsidRPr="00BA3B8F">
        <w:rPr>
          <w:color w:val="000000"/>
          <w:sz w:val="26"/>
          <w:szCs w:val="26"/>
          <w:lang w:val="en-US"/>
        </w:rPr>
        <w:t>×</w:t>
      </w:r>
      <w:r w:rsidRPr="00BA3B8F">
        <w:rPr>
          <w:rFonts w:eastAsia="Symbol" w:cs="Symbol"/>
          <w:color w:val="000000"/>
          <w:sz w:val="26"/>
          <w:szCs w:val="26"/>
          <w:lang w:val="en-US"/>
        </w:rPr>
        <w:t>, ±</w:t>
      </w:r>
      <w:r w:rsidRPr="00BA3B8F">
        <w:rPr>
          <w:color w:val="000000"/>
          <w:sz w:val="26"/>
          <w:szCs w:val="26"/>
          <w:lang w:val="en-US"/>
        </w:rPr>
        <w:t>) should be introduced into the text via the option “</w:t>
      </w:r>
      <w:r w:rsidRPr="00BA3B8F">
        <w:rPr>
          <w:color w:val="000000"/>
          <w:sz w:val="26"/>
          <w:szCs w:val="26"/>
          <w:lang w:val="en-US"/>
        </w:rPr>
        <w:t>I</w:t>
      </w:r>
      <w:r w:rsidRPr="00BA3B8F">
        <w:rPr>
          <w:color w:val="000000"/>
          <w:sz w:val="26"/>
          <w:szCs w:val="26"/>
          <w:lang w:val="en-US"/>
        </w:rPr>
        <w:t>n</w:t>
      </w:r>
      <w:r w:rsidRPr="00BA3B8F">
        <w:rPr>
          <w:color w:val="000000"/>
          <w:sz w:val="26"/>
          <w:szCs w:val="26"/>
          <w:lang w:val="en-US"/>
        </w:rPr>
        <w:t xml:space="preserve">sert </w:t>
      </w:r>
      <w:r w:rsidRPr="00BA3B8F">
        <w:rPr>
          <w:rFonts w:eastAsia="Symbol" w:cs="Symbol"/>
          <w:color w:val="000000"/>
          <w:sz w:val="26"/>
          <w:szCs w:val="26"/>
          <w:lang w:val="en-US"/>
        </w:rPr>
        <w:t>→</w:t>
      </w:r>
      <w:r w:rsidRPr="00BA3B8F">
        <w:rPr>
          <w:color w:val="000000"/>
          <w:sz w:val="26"/>
          <w:szCs w:val="26"/>
          <w:lang w:val="en-US"/>
        </w:rPr>
        <w:t xml:space="preserve"> Symbol”. </w:t>
      </w:r>
      <w:r w:rsidRPr="00BA3B8F">
        <w:rPr>
          <w:b/>
          <w:color w:val="000000"/>
          <w:sz w:val="26"/>
          <w:szCs w:val="26"/>
          <w:lang w:val="en-US"/>
        </w:rPr>
        <w:t xml:space="preserve">Latin </w:t>
      </w:r>
      <w:proofErr w:type="gramStart"/>
      <w:r w:rsidRPr="00BA3B8F">
        <w:rPr>
          <w:b/>
          <w:color w:val="000000"/>
          <w:sz w:val="26"/>
          <w:szCs w:val="26"/>
          <w:lang w:val="en-US"/>
        </w:rPr>
        <w:t>text</w:t>
      </w:r>
      <w:r w:rsidRPr="00BA3B8F">
        <w:rPr>
          <w:color w:val="000000"/>
          <w:sz w:val="26"/>
          <w:szCs w:val="26"/>
          <w:lang w:val="en-US"/>
        </w:rPr>
        <w:t xml:space="preserve"> are</w:t>
      </w:r>
      <w:proofErr w:type="gramEnd"/>
      <w:r w:rsidRPr="00BA3B8F">
        <w:rPr>
          <w:color w:val="000000"/>
          <w:sz w:val="26"/>
          <w:szCs w:val="26"/>
          <w:lang w:val="en-US"/>
        </w:rPr>
        <w:t xml:space="preserve"> italicized (e.g. </w:t>
      </w:r>
      <w:r w:rsidRPr="00BA3B8F">
        <w:rPr>
          <w:i/>
          <w:color w:val="000000"/>
          <w:sz w:val="26"/>
          <w:szCs w:val="26"/>
          <w:lang w:val="en-US"/>
        </w:rPr>
        <w:t xml:space="preserve">Aspergillus </w:t>
      </w:r>
      <w:proofErr w:type="spellStart"/>
      <w:r w:rsidRPr="00BA3B8F">
        <w:rPr>
          <w:i/>
          <w:color w:val="000000"/>
          <w:sz w:val="26"/>
          <w:szCs w:val="26"/>
          <w:lang w:val="en-US"/>
        </w:rPr>
        <w:t>niger</w:t>
      </w:r>
      <w:proofErr w:type="spellEnd"/>
      <w:r w:rsidRPr="00BA3B8F">
        <w:rPr>
          <w:color w:val="000000"/>
          <w:sz w:val="26"/>
          <w:szCs w:val="26"/>
          <w:lang w:val="en-US"/>
        </w:rPr>
        <w:t xml:space="preserve"> BIM F</w:t>
      </w:r>
      <w:r w:rsidRPr="00BA3B8F">
        <w:rPr>
          <w:color w:val="000000"/>
          <w:sz w:val="26"/>
          <w:szCs w:val="26"/>
          <w:lang w:val="en-US"/>
        </w:rPr>
        <w:noBreakHyphen/>
        <w:t>65).</w:t>
      </w:r>
    </w:p>
    <w:p w:rsidR="00CD2A80" w:rsidRPr="00BA3B8F" w:rsidRDefault="00CD2A80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en-US"/>
        </w:rPr>
      </w:pPr>
    </w:p>
    <w:p w:rsidR="00CD2A80" w:rsidRPr="00BA3B8F" w:rsidRDefault="00BA3B8F">
      <w:pPr>
        <w:ind w:firstLine="567"/>
        <w:jc w:val="both"/>
        <w:rPr>
          <w:sz w:val="26"/>
          <w:szCs w:val="26"/>
          <w:lang w:val="en-US"/>
        </w:rPr>
      </w:pPr>
      <w:r w:rsidRPr="00BA3B8F">
        <w:rPr>
          <w:sz w:val="26"/>
          <w:szCs w:val="26"/>
          <w:lang w:val="en-US"/>
        </w:rPr>
        <w:t>A</w:t>
      </w:r>
      <w:r w:rsidRPr="00BA3B8F">
        <w:rPr>
          <w:sz w:val="26"/>
          <w:szCs w:val="26"/>
          <w:lang w:val="en-US"/>
        </w:rPr>
        <w:t>uthors of accepted abstracts carry responsibility for authenticity of presented r</w:t>
      </w:r>
      <w:r w:rsidRPr="00BA3B8F">
        <w:rPr>
          <w:sz w:val="26"/>
          <w:szCs w:val="26"/>
          <w:lang w:val="en-US"/>
        </w:rPr>
        <w:t>e</w:t>
      </w:r>
      <w:r w:rsidRPr="00BA3B8F">
        <w:rPr>
          <w:sz w:val="26"/>
          <w:szCs w:val="26"/>
          <w:lang w:val="en-US"/>
        </w:rPr>
        <w:t>sults, compliance with authorship rights, accuracy of citations, legalization of data not su</w:t>
      </w:r>
      <w:r w:rsidRPr="00BA3B8F">
        <w:rPr>
          <w:sz w:val="26"/>
          <w:szCs w:val="26"/>
          <w:lang w:val="en-US"/>
        </w:rPr>
        <w:t>b</w:t>
      </w:r>
      <w:r w:rsidRPr="00BA3B8F">
        <w:rPr>
          <w:sz w:val="26"/>
          <w:szCs w:val="26"/>
          <w:lang w:val="en-US"/>
        </w:rPr>
        <w:t>jected to public disclosure.</w:t>
      </w:r>
    </w:p>
    <w:p w:rsidR="00CD2A80" w:rsidRPr="00BA3B8F" w:rsidRDefault="00BA3B8F">
      <w:pPr>
        <w:ind w:firstLine="567"/>
        <w:jc w:val="both"/>
        <w:rPr>
          <w:sz w:val="26"/>
          <w:szCs w:val="26"/>
          <w:lang w:val="en-US"/>
        </w:rPr>
      </w:pPr>
      <w:r w:rsidRPr="00BA3B8F">
        <w:rPr>
          <w:sz w:val="26"/>
          <w:szCs w:val="26"/>
          <w:lang w:val="en-US"/>
        </w:rPr>
        <w:t>The Organizing Committee reserves the right to reject abstracts not meeting the e</w:t>
      </w:r>
      <w:r w:rsidRPr="00BA3B8F">
        <w:rPr>
          <w:sz w:val="26"/>
          <w:szCs w:val="26"/>
          <w:lang w:val="en-US"/>
        </w:rPr>
        <w:t>s</w:t>
      </w:r>
      <w:r w:rsidRPr="00BA3B8F">
        <w:rPr>
          <w:sz w:val="26"/>
          <w:szCs w:val="26"/>
          <w:lang w:val="en-US"/>
        </w:rPr>
        <w:t>tablished deadline, thematic profile or format criteria and to modify the text in a way not affecting its scientific content.</w:t>
      </w:r>
    </w:p>
    <w:p w:rsidR="00CD2A80" w:rsidRPr="00BA3B8F" w:rsidRDefault="00BA3B8F">
      <w:pPr>
        <w:shd w:val="clear" w:color="auto" w:fill="FFFFFF"/>
        <w:ind w:left="11" w:right="6" w:firstLine="556"/>
        <w:jc w:val="both"/>
        <w:rPr>
          <w:sz w:val="26"/>
          <w:szCs w:val="26"/>
          <w:lang w:val="en-US"/>
        </w:rPr>
      </w:pPr>
      <w:r w:rsidRPr="00BA3B8F">
        <w:rPr>
          <w:sz w:val="26"/>
          <w:szCs w:val="26"/>
          <w:lang w:val="en-US"/>
        </w:rPr>
        <w:t>The authors will re</w:t>
      </w:r>
      <w:r w:rsidRPr="00BA3B8F">
        <w:rPr>
          <w:sz w:val="26"/>
          <w:szCs w:val="26"/>
          <w:lang w:val="en-US"/>
        </w:rPr>
        <w:t>ceive an e-mail confirmation of abstract receipt by Organi</w:t>
      </w:r>
      <w:r w:rsidRPr="00BA3B8F">
        <w:rPr>
          <w:sz w:val="26"/>
          <w:szCs w:val="26"/>
          <w:lang w:val="en-US"/>
        </w:rPr>
        <w:t>z</w:t>
      </w:r>
      <w:r w:rsidRPr="00BA3B8F">
        <w:rPr>
          <w:sz w:val="26"/>
          <w:szCs w:val="26"/>
          <w:lang w:val="en-US"/>
        </w:rPr>
        <w:t>ing Committee. In case such confirmation is delayed please contact Organizing Committee by e-mail: conference@mbio.bas-net.by.</w:t>
      </w:r>
    </w:p>
    <w:p w:rsidR="00CD2A80" w:rsidRDefault="00CD2A80">
      <w:pPr>
        <w:shd w:val="clear" w:color="auto" w:fill="FFFFFF"/>
        <w:ind w:left="11" w:right="6" w:firstLine="556"/>
        <w:jc w:val="both"/>
        <w:rPr>
          <w:lang w:val="en-US"/>
        </w:rPr>
      </w:pPr>
    </w:p>
    <w:p w:rsidR="00CD2A80" w:rsidRDefault="00BA3B8F">
      <w:pPr>
        <w:shd w:val="clear" w:color="auto" w:fill="FFFFFF"/>
        <w:spacing w:line="360" w:lineRule="exact"/>
        <w:jc w:val="both"/>
        <w:rPr>
          <w:rStyle w:val="StrongEmphasis"/>
          <w:i/>
          <w:szCs w:val="28"/>
        </w:rPr>
      </w:pPr>
      <w:r>
        <w:rPr>
          <w:rStyle w:val="StrongEmphasis"/>
          <w:i/>
          <w:szCs w:val="28"/>
          <w:lang w:val="en-US"/>
        </w:rPr>
        <w:lastRenderedPageBreak/>
        <w:t>Abstract template</w:t>
      </w:r>
    </w:p>
    <w:p w:rsidR="00CD2A80" w:rsidRDefault="00CD2A80">
      <w:pPr>
        <w:shd w:val="clear" w:color="auto" w:fill="FFFFFF"/>
        <w:spacing w:line="360" w:lineRule="exact"/>
        <w:jc w:val="both"/>
        <w:rPr>
          <w:rStyle w:val="StrongEmphasis"/>
          <w:i/>
          <w:szCs w:val="28"/>
        </w:rPr>
      </w:pPr>
    </w:p>
    <w:p w:rsidR="00CD2A80" w:rsidRDefault="00BA3B8F">
      <w:pPr>
        <w:pStyle w:val="3"/>
        <w:numPr>
          <w:ilvl w:val="2"/>
          <w:numId w:val="2"/>
        </w:numPr>
        <w:jc w:val="left"/>
        <w:rPr>
          <w:b w:val="0"/>
          <w:sz w:val="28"/>
          <w:szCs w:val="28"/>
          <w:lang w:val="en-US"/>
        </w:rPr>
      </w:pPr>
      <w:r>
        <w:rPr>
          <w:sz w:val="34"/>
          <w:szCs w:val="34"/>
          <w:lang w:val="en-US"/>
        </w:rPr>
        <w:t>Molecular-genetic analysis of determinants, coding</w:t>
      </w:r>
      <w:r>
        <w:rPr>
          <w:sz w:val="34"/>
          <w:szCs w:val="34"/>
          <w:lang w:val="en-US"/>
        </w:rPr>
        <w:t xml:space="preserve"> for synthesis of antimicrobial metabolites in bacteria of genus </w:t>
      </w:r>
      <w:r>
        <w:rPr>
          <w:i/>
          <w:sz w:val="34"/>
          <w:szCs w:val="34"/>
          <w:lang w:val="en-US"/>
        </w:rPr>
        <w:t>Bacillus</w:t>
      </w:r>
      <w:r>
        <w:rPr>
          <w:i/>
          <w:sz w:val="34"/>
          <w:szCs w:val="34"/>
          <w:lang w:val="en-US"/>
        </w:rPr>
        <w:br/>
      </w:r>
    </w:p>
    <w:p w:rsidR="00CD2A80" w:rsidRDefault="00BA3B8F">
      <w:pPr>
        <w:rPr>
          <w:b/>
          <w:lang w:val="en-US"/>
        </w:rPr>
      </w:pPr>
      <w:proofErr w:type="spellStart"/>
      <w:r>
        <w:rPr>
          <w:b/>
          <w:lang w:val="en-US"/>
        </w:rPr>
        <w:t>Berezhny</w:t>
      </w:r>
      <w:proofErr w:type="spellEnd"/>
      <w:r>
        <w:rPr>
          <w:b/>
          <w:lang w:val="en-US"/>
        </w:rPr>
        <w:t xml:space="preserve"> A.</w:t>
      </w:r>
      <w:r>
        <w:rPr>
          <w:b/>
          <w:vertAlign w:val="superscript"/>
          <w:lang w:val="en-US"/>
        </w:rPr>
        <w:t>1</w:t>
      </w:r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Petrov</w:t>
      </w:r>
      <w:proofErr w:type="spellEnd"/>
      <w:r>
        <w:rPr>
          <w:b/>
          <w:lang w:val="en-US"/>
        </w:rPr>
        <w:t xml:space="preserve"> P.</w:t>
      </w:r>
      <w:r>
        <w:rPr>
          <w:b/>
          <w:vertAlign w:val="superscript"/>
          <w:lang w:val="en-US"/>
        </w:rPr>
        <w:t>1</w:t>
      </w:r>
      <w:proofErr w:type="gramStart"/>
      <w:r>
        <w:rPr>
          <w:b/>
          <w:vertAlign w:val="superscript"/>
          <w:lang w:val="en-US"/>
        </w:rPr>
        <w:t>,2</w:t>
      </w:r>
      <w:proofErr w:type="gramEnd"/>
      <w:r>
        <w:rPr>
          <w:b/>
          <w:lang w:val="en-US"/>
        </w:rPr>
        <w:t>, Ivanov V.</w:t>
      </w:r>
      <w:r>
        <w:rPr>
          <w:b/>
          <w:vertAlign w:val="superscript"/>
          <w:lang w:val="en-US"/>
        </w:rPr>
        <w:t>2</w:t>
      </w:r>
    </w:p>
    <w:p w:rsidR="00CD2A80" w:rsidRDefault="00BA3B8F">
      <w:pPr>
        <w:spacing w:before="120"/>
        <w:rPr>
          <w:i/>
          <w:sz w:val="26"/>
          <w:szCs w:val="26"/>
          <w:lang w:val="en-US"/>
        </w:rPr>
      </w:pPr>
      <w:r>
        <w:rPr>
          <w:i/>
          <w:sz w:val="26"/>
          <w:szCs w:val="26"/>
          <w:vertAlign w:val="superscript"/>
          <w:lang w:val="en-US"/>
        </w:rPr>
        <w:t>1</w:t>
      </w:r>
      <w:r>
        <w:rPr>
          <w:i/>
          <w:sz w:val="26"/>
          <w:szCs w:val="26"/>
          <w:lang w:val="en-US"/>
        </w:rPr>
        <w:t>Institute of Microbiology NAS Belarus, Minsk, Belarus</w:t>
      </w:r>
      <w:proofErr w:type="gramStart"/>
      <w:r>
        <w:rPr>
          <w:i/>
          <w:sz w:val="26"/>
          <w:szCs w:val="26"/>
          <w:lang w:val="en-US"/>
        </w:rPr>
        <w:t>,</w:t>
      </w:r>
      <w:proofErr w:type="gramEnd"/>
      <w:r>
        <w:rPr>
          <w:i/>
          <w:sz w:val="26"/>
          <w:szCs w:val="26"/>
          <w:lang w:val="en-US"/>
        </w:rPr>
        <w:br/>
        <w:t>e-mail: name@mail.ru</w:t>
      </w:r>
    </w:p>
    <w:p w:rsidR="00CD2A80" w:rsidRDefault="00BA3B8F">
      <w:pPr>
        <w:spacing w:before="120"/>
        <w:rPr>
          <w:i/>
          <w:sz w:val="26"/>
          <w:szCs w:val="26"/>
          <w:lang w:val="en-US"/>
        </w:rPr>
      </w:pPr>
      <w:r>
        <w:rPr>
          <w:i/>
          <w:sz w:val="26"/>
          <w:szCs w:val="26"/>
          <w:vertAlign w:val="superscript"/>
          <w:lang w:val="en-US"/>
        </w:rPr>
        <w:t>2</w:t>
      </w:r>
      <w:r>
        <w:rPr>
          <w:i/>
          <w:iCs/>
          <w:sz w:val="26"/>
          <w:szCs w:val="26"/>
          <w:lang w:val="en-US"/>
        </w:rPr>
        <w:t xml:space="preserve">Faculty of Chemistry, M.V. </w:t>
      </w:r>
      <w:proofErr w:type="spellStart"/>
      <w:r>
        <w:rPr>
          <w:i/>
          <w:iCs/>
          <w:sz w:val="26"/>
          <w:szCs w:val="26"/>
          <w:lang w:val="en-US"/>
        </w:rPr>
        <w:t>Lomonosov</w:t>
      </w:r>
      <w:proofErr w:type="spellEnd"/>
      <w:r>
        <w:rPr>
          <w:i/>
          <w:iCs/>
          <w:sz w:val="26"/>
          <w:szCs w:val="26"/>
          <w:lang w:val="en-US"/>
        </w:rPr>
        <w:t xml:space="preserve"> Moscow State University, </w:t>
      </w:r>
      <w:r>
        <w:rPr>
          <w:i/>
          <w:iCs/>
          <w:sz w:val="26"/>
          <w:szCs w:val="26"/>
          <w:lang w:val="en-US"/>
        </w:rPr>
        <w:t>Moscow, Russia</w:t>
      </w:r>
    </w:p>
    <w:p w:rsidR="00CD2A80" w:rsidRDefault="00CD2A80">
      <w:pPr>
        <w:ind w:firstLine="567"/>
        <w:contextualSpacing/>
        <w:jc w:val="both"/>
        <w:rPr>
          <w:i/>
          <w:sz w:val="26"/>
          <w:szCs w:val="26"/>
          <w:lang w:val="en-US"/>
        </w:rPr>
      </w:pPr>
    </w:p>
    <w:p w:rsidR="00CD2A80" w:rsidRPr="00BA6D56" w:rsidRDefault="00BA3B8F">
      <w:pPr>
        <w:spacing w:line="360" w:lineRule="exact"/>
        <w:ind w:firstLine="567"/>
        <w:contextualSpacing/>
        <w:jc w:val="both"/>
        <w:rPr>
          <w:lang w:val="en-US"/>
        </w:rPr>
      </w:pPr>
      <w:r>
        <w:rPr>
          <w:szCs w:val="28"/>
          <w:lang w:val="en-US"/>
        </w:rPr>
        <w:t xml:space="preserve">Bacteria of genus </w:t>
      </w:r>
      <w:r>
        <w:rPr>
          <w:i/>
          <w:szCs w:val="28"/>
          <w:lang w:val="en-US"/>
        </w:rPr>
        <w:t>Bacillus</w:t>
      </w:r>
      <w:r>
        <w:rPr>
          <w:szCs w:val="28"/>
          <w:lang w:val="en-US"/>
        </w:rPr>
        <w:t xml:space="preserve"> are producers of a wide spectrum of biologically a</w:t>
      </w:r>
      <w:r>
        <w:rPr>
          <w:szCs w:val="28"/>
          <w:lang w:val="en-US"/>
        </w:rPr>
        <w:t>c</w:t>
      </w:r>
      <w:r>
        <w:rPr>
          <w:szCs w:val="28"/>
          <w:lang w:val="en-US"/>
        </w:rPr>
        <w:t>tive substances, including antib</w:t>
      </w:r>
      <w:bookmarkStart w:id="0" w:name="_GoBack"/>
      <w:bookmarkEnd w:id="0"/>
      <w:r>
        <w:rPr>
          <w:szCs w:val="28"/>
          <w:lang w:val="en-US"/>
        </w:rPr>
        <w:t xml:space="preserve">iotics, surface-active agents, enzymes, etc., which determine their application for development of </w:t>
      </w:r>
      <w:proofErr w:type="spellStart"/>
      <w:r>
        <w:rPr>
          <w:szCs w:val="28"/>
          <w:lang w:val="en-US"/>
        </w:rPr>
        <w:t>biopreparations</w:t>
      </w:r>
      <w:proofErr w:type="spellEnd"/>
      <w:r>
        <w:rPr>
          <w:szCs w:val="28"/>
          <w:lang w:val="en-US"/>
        </w:rPr>
        <w:t xml:space="preserve"> for plant prote</w:t>
      </w:r>
      <w:r>
        <w:rPr>
          <w:szCs w:val="28"/>
          <w:lang w:val="en-US"/>
        </w:rPr>
        <w:t xml:space="preserve">ction [1]. The most well-known antagonistically active metabolites of bacilli are </w:t>
      </w:r>
      <w:proofErr w:type="spellStart"/>
      <w:r>
        <w:rPr>
          <w:szCs w:val="28"/>
          <w:lang w:val="en-US"/>
        </w:rPr>
        <w:t>lipope</w:t>
      </w:r>
      <w:r>
        <w:rPr>
          <w:szCs w:val="28"/>
          <w:lang w:val="en-US"/>
        </w:rPr>
        <w:t>p</w:t>
      </w:r>
      <w:r>
        <w:rPr>
          <w:szCs w:val="28"/>
          <w:lang w:val="en-US"/>
        </w:rPr>
        <w:t>tides</w:t>
      </w:r>
      <w:proofErr w:type="spellEnd"/>
      <w:r>
        <w:rPr>
          <w:szCs w:val="28"/>
          <w:lang w:val="en-US"/>
        </w:rPr>
        <w:t xml:space="preserve"> of </w:t>
      </w:r>
      <w:proofErr w:type="spellStart"/>
      <w:r>
        <w:rPr>
          <w:szCs w:val="28"/>
          <w:lang w:val="en-US"/>
        </w:rPr>
        <w:t>surfactin</w:t>
      </w:r>
      <w:proofErr w:type="spellEnd"/>
      <w:r>
        <w:rPr>
          <w:szCs w:val="28"/>
          <w:lang w:val="en-US"/>
        </w:rPr>
        <w:t xml:space="preserve"> (fig. 1) and </w:t>
      </w:r>
      <w:proofErr w:type="spellStart"/>
      <w:r>
        <w:rPr>
          <w:szCs w:val="28"/>
          <w:lang w:val="en-US"/>
        </w:rPr>
        <w:t>iturin</w:t>
      </w:r>
      <w:proofErr w:type="spellEnd"/>
      <w:r>
        <w:rPr>
          <w:szCs w:val="28"/>
          <w:lang w:val="en-US"/>
        </w:rPr>
        <w:t xml:space="preserve"> groups [2, 3].</w:t>
      </w:r>
    </w:p>
    <w:p w:rsidR="00CD2A80" w:rsidRDefault="00CD2A80">
      <w:pPr>
        <w:spacing w:line="360" w:lineRule="exact"/>
        <w:ind w:firstLine="567"/>
        <w:contextualSpacing/>
        <w:jc w:val="both"/>
        <w:rPr>
          <w:szCs w:val="28"/>
          <w:lang w:val="en-US"/>
        </w:rPr>
      </w:pPr>
    </w:p>
    <w:p w:rsidR="00CD2A80" w:rsidRDefault="00BA3B8F">
      <w:pPr>
        <w:spacing w:line="360" w:lineRule="auto"/>
        <w:ind w:firstLine="567"/>
        <w:contextualSpacing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964305" cy="224790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169" t="8662" r="-15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30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A80" w:rsidRDefault="00BA3B8F">
      <w:pPr>
        <w:contextualSpacing/>
        <w:jc w:val="center"/>
        <w:rPr>
          <w:lang w:val="en-US"/>
        </w:rPr>
      </w:pPr>
      <w:r>
        <w:rPr>
          <w:b/>
          <w:lang w:val="en-US"/>
        </w:rPr>
        <w:t>Figure 1</w:t>
      </w:r>
      <w:r>
        <w:rPr>
          <w:lang w:val="en-US"/>
        </w:rPr>
        <w:t xml:space="preserve"> – Taxonomic affiliation of studied test-cultures of microorganisms</w:t>
      </w:r>
    </w:p>
    <w:p w:rsidR="00CD2A80" w:rsidRDefault="00CD2A80">
      <w:pPr>
        <w:spacing w:line="360" w:lineRule="exact"/>
        <w:ind w:firstLine="567"/>
        <w:contextualSpacing/>
        <w:jc w:val="both"/>
        <w:rPr>
          <w:szCs w:val="28"/>
          <w:lang w:val="en-US"/>
        </w:rPr>
      </w:pPr>
    </w:p>
    <w:p w:rsidR="00CD2A80" w:rsidRPr="00BA6D56" w:rsidRDefault="00BA3B8F">
      <w:pPr>
        <w:spacing w:line="360" w:lineRule="exact"/>
        <w:ind w:firstLine="567"/>
        <w:jc w:val="both"/>
        <w:rPr>
          <w:szCs w:val="28"/>
          <w:lang w:val="en-US"/>
        </w:rPr>
      </w:pPr>
      <w:r>
        <w:rPr>
          <w:color w:val="000000"/>
          <w:szCs w:val="28"/>
          <w:shd w:val="clear" w:color="auto" w:fill="FFFFFF"/>
          <w:lang w:val="en-US"/>
        </w:rPr>
        <w:t>One of the prospective directions of bioremediation of environment is introdu</w:t>
      </w:r>
      <w:r>
        <w:rPr>
          <w:color w:val="000000"/>
          <w:szCs w:val="28"/>
          <w:shd w:val="clear" w:color="auto" w:fill="FFFFFF"/>
          <w:lang w:val="en-US"/>
        </w:rPr>
        <w:t>c</w:t>
      </w:r>
      <w:r>
        <w:rPr>
          <w:color w:val="000000"/>
          <w:szCs w:val="28"/>
          <w:shd w:val="clear" w:color="auto" w:fill="FFFFFF"/>
          <w:lang w:val="en-US"/>
        </w:rPr>
        <w:t xml:space="preserve">tion of active microorganisms-destructors of xenobiotics in soil, contaminated with pesticides (Tab. 2). </w:t>
      </w:r>
    </w:p>
    <w:p w:rsidR="00CD2A80" w:rsidRPr="00BA6D56" w:rsidRDefault="00CD2A80">
      <w:pPr>
        <w:rPr>
          <w:bCs/>
          <w:iCs/>
          <w:color w:val="000000"/>
          <w:szCs w:val="28"/>
          <w:lang w:val="en-US"/>
        </w:rPr>
      </w:pPr>
    </w:p>
    <w:p w:rsidR="00CD2A80" w:rsidRDefault="00BA3B8F">
      <w:pPr>
        <w:rPr>
          <w:lang w:val="en-US"/>
        </w:rPr>
      </w:pPr>
      <w:r>
        <w:rPr>
          <w:b/>
          <w:bCs/>
          <w:iCs/>
          <w:color w:val="000000"/>
          <w:szCs w:val="28"/>
          <w:lang w:val="en-US"/>
        </w:rPr>
        <w:t>Table 2</w:t>
      </w:r>
      <w:r>
        <w:rPr>
          <w:bCs/>
          <w:iCs/>
          <w:color w:val="000000"/>
          <w:szCs w:val="28"/>
          <w:lang w:val="en-US"/>
        </w:rPr>
        <w:t xml:space="preserve"> – Growth of bacteria at different oil concentrations</w:t>
      </w:r>
    </w:p>
    <w:tbl>
      <w:tblPr>
        <w:tblW w:w="9190" w:type="dxa"/>
        <w:tblInd w:w="-5" w:type="dxa"/>
        <w:tblLook w:val="04A0" w:firstRow="1" w:lastRow="0" w:firstColumn="1" w:lastColumn="0" w:noHBand="0" w:noVBand="1"/>
      </w:tblPr>
      <w:tblGrid>
        <w:gridCol w:w="2661"/>
        <w:gridCol w:w="1085"/>
        <w:gridCol w:w="1088"/>
        <w:gridCol w:w="1087"/>
        <w:gridCol w:w="1086"/>
        <w:gridCol w:w="1086"/>
        <w:gridCol w:w="1097"/>
      </w:tblGrid>
      <w:tr w:rsidR="00CD2A80">
        <w:trPr>
          <w:trHeight w:val="23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Oil </w:t>
            </w:r>
            <w:r>
              <w:rPr>
                <w:bCs/>
                <w:sz w:val="24"/>
                <w:szCs w:val="24"/>
                <w:lang w:val="en-US"/>
              </w:rPr>
              <w:t>concentration</w:t>
            </w:r>
            <w:r>
              <w:rPr>
                <w:bCs/>
                <w:sz w:val="24"/>
                <w:szCs w:val="24"/>
              </w:rPr>
              <w:t>,</w:t>
            </w:r>
          </w:p>
          <w:p w:rsidR="00CD2A80" w:rsidRDefault="00BA3B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6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Strain</w:t>
            </w:r>
          </w:p>
        </w:tc>
      </w:tr>
      <w:tr w:rsidR="00CD2A80">
        <w:trPr>
          <w:trHeight w:val="23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CD2A80">
            <w:pPr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a"/>
              </w:rPr>
              <w:t>90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a"/>
              </w:rPr>
              <w:t>102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a"/>
              </w:rPr>
              <w:t>108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a"/>
              </w:rPr>
              <w:t>10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a"/>
              </w:rPr>
              <w:t>112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a"/>
              </w:rPr>
              <w:t>114</w:t>
            </w:r>
          </w:p>
        </w:tc>
      </w:tr>
      <w:tr w:rsidR="00CD2A80">
        <w:trPr>
          <w:trHeight w:val="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</w:tr>
      <w:tr w:rsidR="00CD2A80">
        <w:trPr>
          <w:trHeight w:val="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</w:tr>
      <w:tr w:rsidR="00CD2A80">
        <w:trPr>
          <w:trHeight w:val="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</w:tr>
      <w:tr w:rsidR="00CD2A80">
        <w:trPr>
          <w:trHeight w:val="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</w:tr>
      <w:tr w:rsidR="00CD2A80">
        <w:trPr>
          <w:trHeight w:val="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A80" w:rsidRDefault="00BA3B8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</w:tbl>
    <w:p w:rsidR="00CD2A80" w:rsidRDefault="00CD2A80">
      <w:pPr>
        <w:spacing w:line="360" w:lineRule="exact"/>
        <w:contextualSpacing/>
        <w:jc w:val="both"/>
        <w:rPr>
          <w:szCs w:val="28"/>
        </w:rPr>
      </w:pPr>
    </w:p>
    <w:p w:rsidR="00CD2A80" w:rsidRDefault="00BA3B8F">
      <w:pPr>
        <w:jc w:val="center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Literature</w:t>
      </w:r>
    </w:p>
    <w:p w:rsidR="00CD2A80" w:rsidRPr="00BA6D56" w:rsidRDefault="00BA3B8F">
      <w:pPr>
        <w:pStyle w:val="a8"/>
        <w:jc w:val="both"/>
        <w:rPr>
          <w:lang w:val="en-US"/>
        </w:rPr>
      </w:pPr>
      <w:r>
        <w:lastRenderedPageBreak/>
        <w:fldChar w:fldCharType="begin"/>
      </w:r>
      <w:r w:rsidRPr="00BA6D56">
        <w:rPr>
          <w:lang w:val="en-US"/>
        </w:rPr>
        <w:instrText>ADDIN ZOTERO_BIBL {"custom":[]} CSL_BIBLIOGRAPHY</w:instrText>
      </w:r>
      <w:r>
        <w:fldChar w:fldCharType="separate"/>
      </w:r>
      <w:r>
        <w:rPr>
          <w:sz w:val="24"/>
          <w:szCs w:val="24"/>
          <w:lang w:val="en-US"/>
        </w:rPr>
        <w:t>1.</w:t>
      </w:r>
      <w:r>
        <w:rPr>
          <w:sz w:val="24"/>
          <w:szCs w:val="24"/>
          <w:lang w:val="en-US"/>
        </w:rPr>
        <w:tab/>
        <w:t xml:space="preserve">Harpin induces disease resistance in </w:t>
      </w:r>
      <w:r>
        <w:rPr>
          <w:i/>
          <w:sz w:val="24"/>
          <w:szCs w:val="24"/>
          <w:lang w:val="en-US"/>
        </w:rPr>
        <w:t xml:space="preserve">Arabidopsis </w:t>
      </w:r>
      <w:r>
        <w:rPr>
          <w:sz w:val="24"/>
          <w:szCs w:val="24"/>
          <w:lang w:val="en-US"/>
        </w:rPr>
        <w:t>through the systemic acquired resistance pathway mediated by salicylic acid and the NIM1 gene / H. Dong [et al.] // Plant J. – 1999. – Vol. 20, № 2. – P. 207-215.</w:t>
      </w:r>
    </w:p>
    <w:p w:rsidR="00CD2A80" w:rsidRDefault="00BA3B8F">
      <w:pPr>
        <w:shd w:val="clear" w:color="auto" w:fill="FFFFFF"/>
        <w:jc w:val="both"/>
        <w:rPr>
          <w:color w:val="000000"/>
          <w:sz w:val="34"/>
          <w:szCs w:val="34"/>
          <w:lang w:val="en-US"/>
        </w:rPr>
      </w:pPr>
      <w:r>
        <w:rPr>
          <w:sz w:val="24"/>
          <w:szCs w:val="24"/>
          <w:lang w:val="en-US"/>
        </w:rPr>
        <w:t>3.</w:t>
      </w:r>
      <w:r>
        <w:rPr>
          <w:sz w:val="24"/>
          <w:szCs w:val="24"/>
          <w:lang w:val="en-US"/>
        </w:rPr>
        <w:tab/>
        <w:t>Fontanilla, M. Effects of the foliar-applied protein “</w:t>
      </w:r>
      <w:proofErr w:type="gramStart"/>
      <w:r>
        <w:rPr>
          <w:sz w:val="24"/>
          <w:szCs w:val="24"/>
          <w:lang w:val="en-US"/>
        </w:rPr>
        <w:t>Harpin(</w:t>
      </w:r>
      <w:proofErr w:type="gramEnd"/>
      <w:r>
        <w:rPr>
          <w:sz w:val="24"/>
          <w:szCs w:val="24"/>
          <w:lang w:val="en-US"/>
        </w:rPr>
        <w:t xml:space="preserve">Ea)” (messenger) </w:t>
      </w:r>
      <w:r>
        <w:rPr>
          <w:sz w:val="24"/>
          <w:szCs w:val="24"/>
          <w:lang w:val="en-US"/>
        </w:rPr>
        <w:t xml:space="preserve">on tomatoes infected with </w:t>
      </w:r>
      <w:r>
        <w:rPr>
          <w:i/>
          <w:sz w:val="24"/>
          <w:szCs w:val="24"/>
          <w:lang w:val="en-US"/>
        </w:rPr>
        <w:t>Phytophthora infestans</w:t>
      </w:r>
      <w:r>
        <w:rPr>
          <w:sz w:val="24"/>
          <w:szCs w:val="24"/>
          <w:lang w:val="en-US"/>
        </w:rPr>
        <w:t xml:space="preserve"> / M. Fontanilla, M. Montes, R. De Prado // Communications in agricultural and applied biological sciences. – 2005. – Vol. 70, № 3. – P. 41-45.</w:t>
      </w:r>
      <w:r>
        <w:fldChar w:fldCharType="end"/>
      </w:r>
    </w:p>
    <w:sectPr w:rsidR="00CD2A80">
      <w:pgSz w:w="11906" w:h="16838"/>
      <w:pgMar w:top="1134" w:right="1134" w:bottom="1134" w:left="1276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02AA"/>
    <w:multiLevelType w:val="multilevel"/>
    <w:tmpl w:val="DB5E46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B38639D"/>
    <w:multiLevelType w:val="multilevel"/>
    <w:tmpl w:val="A9BC2E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80"/>
    <w:rsid w:val="00BA3B8F"/>
    <w:rsid w:val="00BA6D56"/>
    <w:rsid w:val="00CD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sz w:val="28"/>
      <w:szCs w:val="20"/>
      <w:lang w:val="ru-RU" w:bidi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ind w:right="24"/>
      <w:jc w:val="center"/>
      <w:outlineLvl w:val="2"/>
    </w:pPr>
    <w:rPr>
      <w:b/>
      <w:color w:val="000000"/>
      <w:spacing w:val="-6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i w:val="0"/>
      <w:color w:val="00000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4"/>
      <w:szCs w:val="24"/>
    </w:rPr>
  </w:style>
  <w:style w:type="character" w:customStyle="1" w:styleId="WW8Num3z0">
    <w:name w:val="WW8Num3z0"/>
    <w:qFormat/>
    <w:rPr>
      <w:i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i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b w:val="0"/>
      <w:i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i w:val="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StrongEmphasis">
    <w:name w:val="Strong Emphasis"/>
    <w:qFormat/>
    <w:rPr>
      <w:b/>
      <w:bCs/>
    </w:rPr>
  </w:style>
  <w:style w:type="character" w:styleId="a3">
    <w:name w:val="Hyperlink"/>
    <w:rPr>
      <w:color w:val="0563C1"/>
      <w:u w:val="single"/>
    </w:rPr>
  </w:style>
  <w:style w:type="character" w:styleId="a4">
    <w:name w:val="FollowedHyperlink"/>
    <w:rPr>
      <w:color w:val="800000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2">
    <w:name w:val="Body Text 2"/>
    <w:basedOn w:val="a"/>
    <w:qFormat/>
    <w:pPr>
      <w:jc w:val="center"/>
    </w:pPr>
    <w:rPr>
      <w:sz w:val="24"/>
    </w:rPr>
  </w:style>
  <w:style w:type="paragraph" w:customStyle="1" w:styleId="1">
    <w:name w:val="Знак1"/>
    <w:basedOn w:val="a"/>
    <w:qFormat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styleId="a8">
    <w:name w:val="Bibliography"/>
    <w:basedOn w:val="a"/>
    <w:next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a9">
    <w:name w:val="Balloon Text"/>
    <w:basedOn w:val="a"/>
    <w:link w:val="aa"/>
    <w:uiPriority w:val="99"/>
    <w:semiHidden/>
    <w:unhideWhenUsed/>
    <w:rsid w:val="00BA3B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3B8F"/>
    <w:rPr>
      <w:rFonts w:ascii="Tahoma" w:eastAsia="Times New Roman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sz w:val="28"/>
      <w:szCs w:val="20"/>
      <w:lang w:val="ru-RU" w:bidi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ind w:right="24"/>
      <w:jc w:val="center"/>
      <w:outlineLvl w:val="2"/>
    </w:pPr>
    <w:rPr>
      <w:b/>
      <w:color w:val="000000"/>
      <w:spacing w:val="-6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i w:val="0"/>
      <w:color w:val="00000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4"/>
      <w:szCs w:val="24"/>
    </w:rPr>
  </w:style>
  <w:style w:type="character" w:customStyle="1" w:styleId="WW8Num3z0">
    <w:name w:val="WW8Num3z0"/>
    <w:qFormat/>
    <w:rPr>
      <w:i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i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b w:val="0"/>
      <w:i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i w:val="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StrongEmphasis">
    <w:name w:val="Strong Emphasis"/>
    <w:qFormat/>
    <w:rPr>
      <w:b/>
      <w:bCs/>
    </w:rPr>
  </w:style>
  <w:style w:type="character" w:styleId="a3">
    <w:name w:val="Hyperlink"/>
    <w:rPr>
      <w:color w:val="0563C1"/>
      <w:u w:val="single"/>
    </w:rPr>
  </w:style>
  <w:style w:type="character" w:styleId="a4">
    <w:name w:val="FollowedHyperlink"/>
    <w:rPr>
      <w:color w:val="800000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2">
    <w:name w:val="Body Text 2"/>
    <w:basedOn w:val="a"/>
    <w:qFormat/>
    <w:pPr>
      <w:jc w:val="center"/>
    </w:pPr>
    <w:rPr>
      <w:sz w:val="24"/>
    </w:rPr>
  </w:style>
  <w:style w:type="paragraph" w:customStyle="1" w:styleId="1">
    <w:name w:val="Знак1"/>
    <w:basedOn w:val="a"/>
    <w:qFormat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styleId="a8">
    <w:name w:val="Bibliography"/>
    <w:basedOn w:val="a"/>
    <w:next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a9">
    <w:name w:val="Balloon Text"/>
    <w:basedOn w:val="a"/>
    <w:link w:val="aa"/>
    <w:uiPriority w:val="99"/>
    <w:semiHidden/>
    <w:unhideWhenUsed/>
    <w:rsid w:val="00BA3B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3B8F"/>
    <w:rPr>
      <w:rFonts w:ascii="Tahoma" w:eastAsia="Times New Roman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.bsu.by/temp/zotero/gost-r-7-0-5-2008-VAK9.cs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ak.gov.by/en/bibliographicDescrip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bio.bas-net.by/2024/submission_en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ТЕЗИСОВ</vt:lpstr>
    </vt:vector>
  </TitlesOfParts>
  <Company>USSR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ТЕЗИСОВ</dc:title>
  <dc:creator>Valentina A. Lemesh</dc:creator>
  <cp:lastModifiedBy>Author</cp:lastModifiedBy>
  <cp:revision>2</cp:revision>
  <dcterms:created xsi:type="dcterms:W3CDTF">2024-01-29T10:33:00Z</dcterms:created>
  <dcterms:modified xsi:type="dcterms:W3CDTF">2024-01-29T10:33:00Z</dcterms:modified>
  <dc:language>en-US</dc:language>
</cp:coreProperties>
</file>