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D0" w:rsidRPr="00595C34" w:rsidRDefault="0088377B">
      <w:pPr>
        <w:jc w:val="center"/>
        <w:rPr>
          <w:b/>
          <w:sz w:val="36"/>
          <w:szCs w:val="36"/>
        </w:rPr>
      </w:pPr>
      <w:r w:rsidRPr="00595C34">
        <w:rPr>
          <w:b/>
          <w:sz w:val="36"/>
          <w:szCs w:val="36"/>
        </w:rPr>
        <w:t>Т</w:t>
      </w:r>
      <w:r w:rsidR="003D77D2" w:rsidRPr="00595C34">
        <w:rPr>
          <w:b/>
          <w:sz w:val="36"/>
          <w:szCs w:val="36"/>
        </w:rPr>
        <w:t>ребования к</w:t>
      </w:r>
      <w:r w:rsidR="00BE4CD0" w:rsidRPr="00595C34">
        <w:rPr>
          <w:b/>
          <w:sz w:val="36"/>
          <w:szCs w:val="36"/>
        </w:rPr>
        <w:t xml:space="preserve"> оформлени</w:t>
      </w:r>
      <w:r w:rsidR="003D77D2" w:rsidRPr="00595C34">
        <w:rPr>
          <w:b/>
          <w:sz w:val="36"/>
          <w:szCs w:val="36"/>
        </w:rPr>
        <w:t>ю</w:t>
      </w:r>
      <w:r w:rsidR="00BE4CD0" w:rsidRPr="00595C34">
        <w:rPr>
          <w:b/>
          <w:sz w:val="36"/>
          <w:szCs w:val="36"/>
        </w:rPr>
        <w:t xml:space="preserve"> </w:t>
      </w:r>
      <w:r w:rsidR="00D509D2" w:rsidRPr="00595C34">
        <w:rPr>
          <w:b/>
          <w:sz w:val="36"/>
          <w:szCs w:val="36"/>
        </w:rPr>
        <w:t>тезисов доклад</w:t>
      </w:r>
      <w:r w:rsidR="00A163D6" w:rsidRPr="00595C34">
        <w:rPr>
          <w:b/>
          <w:sz w:val="36"/>
          <w:szCs w:val="36"/>
        </w:rPr>
        <w:t>а</w:t>
      </w:r>
    </w:p>
    <w:p w:rsidR="00D509D2" w:rsidRPr="00C76284" w:rsidRDefault="00D509D2" w:rsidP="00D509D2">
      <w:pPr>
        <w:jc w:val="center"/>
      </w:pPr>
      <w:r>
        <w:rPr>
          <w:lang w:val="en-US"/>
        </w:rPr>
        <w:t>X</w:t>
      </w:r>
      <w:r w:rsidR="00D118C9">
        <w:rPr>
          <w:lang w:val="en-US"/>
        </w:rPr>
        <w:t>I</w:t>
      </w:r>
      <w:r w:rsidR="00FB776B">
        <w:rPr>
          <w:lang w:val="en-US"/>
        </w:rPr>
        <w:t>I</w:t>
      </w:r>
      <w:r w:rsidRPr="00783D52">
        <w:t xml:space="preserve"> </w:t>
      </w:r>
      <w:r>
        <w:t>Международной научной</w:t>
      </w:r>
      <w:r w:rsidRPr="00C76284">
        <w:t xml:space="preserve"> конференции</w:t>
      </w:r>
    </w:p>
    <w:p w:rsidR="00D509D2" w:rsidRPr="00EE69AD" w:rsidRDefault="00D509D2" w:rsidP="00D509D2">
      <w:pPr>
        <w:jc w:val="center"/>
        <w:rPr>
          <w:b/>
        </w:rPr>
      </w:pPr>
      <w:r w:rsidRPr="00FF59F1">
        <w:rPr>
          <w:b/>
        </w:rPr>
        <w:t>«Микробные биотехнологии: фундаментальные и прикладные аспекты»</w:t>
      </w:r>
      <w:r w:rsidRPr="00EE69AD">
        <w:rPr>
          <w:b/>
        </w:rPr>
        <w:t>,</w:t>
      </w:r>
    </w:p>
    <w:p w:rsidR="00D509D2" w:rsidRDefault="00D509D2" w:rsidP="00D509D2">
      <w:pPr>
        <w:jc w:val="center"/>
      </w:pPr>
      <w:r>
        <w:t xml:space="preserve">г. Минск, </w:t>
      </w:r>
      <w:r w:rsidR="00FB776B" w:rsidRPr="001D229A">
        <w:t>7</w:t>
      </w:r>
      <w:r w:rsidR="00FB776B">
        <w:t>-</w:t>
      </w:r>
      <w:r w:rsidR="00FB776B" w:rsidRPr="001D229A">
        <w:t>11</w:t>
      </w:r>
      <w:r>
        <w:t xml:space="preserve"> </w:t>
      </w:r>
      <w:r w:rsidR="00595C34">
        <w:t>июня</w:t>
      </w:r>
      <w:r w:rsidR="00FB776B">
        <w:t xml:space="preserve"> 20</w:t>
      </w:r>
      <w:r w:rsidR="00FB776B" w:rsidRPr="001D229A">
        <w:t>21</w:t>
      </w:r>
      <w:r>
        <w:t xml:space="preserve"> г.</w:t>
      </w:r>
    </w:p>
    <w:p w:rsidR="00D509D2" w:rsidRPr="00AF08FC" w:rsidRDefault="00D509D2">
      <w:pPr>
        <w:jc w:val="center"/>
        <w:rPr>
          <w:b/>
          <w:sz w:val="24"/>
          <w:szCs w:val="24"/>
        </w:rPr>
      </w:pPr>
    </w:p>
    <w:p w:rsidR="00D30367" w:rsidRPr="00B21C12" w:rsidRDefault="00584CF0" w:rsidP="00305B9C">
      <w:pPr>
        <w:shd w:val="clear" w:color="auto" w:fill="FFFFFF"/>
        <w:ind w:left="11" w:right="6" w:firstLine="703"/>
        <w:jc w:val="both"/>
        <w:rPr>
          <w:color w:val="000000"/>
          <w:sz w:val="26"/>
          <w:szCs w:val="26"/>
        </w:rPr>
      </w:pPr>
      <w:r w:rsidRPr="00B21C12">
        <w:rPr>
          <w:b/>
          <w:bCs/>
          <w:color w:val="000000"/>
          <w:sz w:val="26"/>
          <w:szCs w:val="26"/>
        </w:rPr>
        <w:t>Тезисы</w:t>
      </w:r>
      <w:r w:rsidR="00305B9C" w:rsidRPr="00B21C12">
        <w:rPr>
          <w:b/>
          <w:bCs/>
          <w:color w:val="000000"/>
          <w:sz w:val="26"/>
          <w:szCs w:val="26"/>
        </w:rPr>
        <w:t xml:space="preserve"> доклада</w:t>
      </w:r>
      <w:r w:rsidR="00D30367" w:rsidRPr="00B21C12">
        <w:rPr>
          <w:b/>
          <w:bCs/>
          <w:color w:val="000000"/>
          <w:sz w:val="26"/>
          <w:szCs w:val="26"/>
        </w:rPr>
        <w:t xml:space="preserve"> </w:t>
      </w:r>
      <w:r w:rsidR="00D30367" w:rsidRPr="00B21C12">
        <w:rPr>
          <w:bCs/>
          <w:color w:val="000000"/>
          <w:sz w:val="26"/>
          <w:szCs w:val="26"/>
        </w:rPr>
        <w:t>на русском или английском языке</w:t>
      </w:r>
      <w:r w:rsidRPr="00B21C12">
        <w:rPr>
          <w:color w:val="000000"/>
          <w:sz w:val="26"/>
          <w:szCs w:val="26"/>
        </w:rPr>
        <w:t xml:space="preserve"> пред</w:t>
      </w:r>
      <w:r w:rsidR="002D1A55" w:rsidRPr="00B21C12">
        <w:rPr>
          <w:color w:val="000000"/>
          <w:sz w:val="26"/>
          <w:szCs w:val="26"/>
        </w:rPr>
        <w:t>о</w:t>
      </w:r>
      <w:r w:rsidRPr="00B21C12">
        <w:rPr>
          <w:color w:val="000000"/>
          <w:sz w:val="26"/>
          <w:szCs w:val="26"/>
        </w:rPr>
        <w:t>ставляю</w:t>
      </w:r>
      <w:r w:rsidR="00305B9C" w:rsidRPr="00B21C12">
        <w:rPr>
          <w:color w:val="000000"/>
          <w:sz w:val="26"/>
          <w:szCs w:val="26"/>
        </w:rPr>
        <w:t xml:space="preserve">тся </w:t>
      </w:r>
      <w:r w:rsidRPr="00B21C12">
        <w:rPr>
          <w:color w:val="000000"/>
          <w:sz w:val="26"/>
          <w:szCs w:val="26"/>
        </w:rPr>
        <w:t xml:space="preserve">в </w:t>
      </w:r>
      <w:r w:rsidR="00305B9C" w:rsidRPr="00B21C12">
        <w:rPr>
          <w:color w:val="000000"/>
          <w:sz w:val="26"/>
          <w:szCs w:val="26"/>
        </w:rPr>
        <w:t>эле</w:t>
      </w:r>
      <w:r w:rsidR="00305B9C" w:rsidRPr="00B21C12">
        <w:rPr>
          <w:color w:val="000000"/>
          <w:sz w:val="26"/>
          <w:szCs w:val="26"/>
        </w:rPr>
        <w:t>к</w:t>
      </w:r>
      <w:r w:rsidR="00305B9C" w:rsidRPr="00B21C12">
        <w:rPr>
          <w:color w:val="000000"/>
          <w:sz w:val="26"/>
          <w:szCs w:val="26"/>
        </w:rPr>
        <w:t xml:space="preserve">тронном виде </w:t>
      </w:r>
      <w:r w:rsidRPr="00B21C12">
        <w:rPr>
          <w:color w:val="000000"/>
          <w:sz w:val="26"/>
          <w:szCs w:val="26"/>
        </w:rPr>
        <w:t xml:space="preserve">с помощью системы подачи тезисов, расположенной на официальном сайте Института микробиологии НАН Беларуси </w:t>
      </w:r>
      <w:r w:rsidR="001D229A">
        <w:rPr>
          <w:color w:val="000000"/>
          <w:sz w:val="26"/>
          <w:szCs w:val="26"/>
        </w:rPr>
        <w:t>(http://mbio.bas-net.by/20</w:t>
      </w:r>
      <w:r w:rsidR="001D229A" w:rsidRPr="001D229A">
        <w:rPr>
          <w:color w:val="000000"/>
          <w:sz w:val="26"/>
          <w:szCs w:val="26"/>
        </w:rPr>
        <w:t>21</w:t>
      </w:r>
      <w:bookmarkStart w:id="0" w:name="_GoBack"/>
      <w:bookmarkEnd w:id="0"/>
      <w:r w:rsidR="00D118C9" w:rsidRPr="00D118C9">
        <w:rPr>
          <w:color w:val="000000"/>
          <w:sz w:val="26"/>
          <w:szCs w:val="26"/>
        </w:rPr>
        <w:t>/</w:t>
      </w:r>
      <w:r w:rsidR="00234404" w:rsidRPr="00B21C12">
        <w:rPr>
          <w:color w:val="000000"/>
          <w:sz w:val="26"/>
          <w:szCs w:val="26"/>
          <w:lang w:val="en-US"/>
        </w:rPr>
        <w:t>submission</w:t>
      </w:r>
      <w:r w:rsidR="00234404" w:rsidRPr="00B21C12">
        <w:rPr>
          <w:color w:val="000000"/>
          <w:sz w:val="26"/>
          <w:szCs w:val="26"/>
        </w:rPr>
        <w:t>.</w:t>
      </w:r>
      <w:proofErr w:type="spellStart"/>
      <w:r w:rsidR="00234404" w:rsidRPr="00B21C12">
        <w:rPr>
          <w:color w:val="000000"/>
          <w:sz w:val="26"/>
          <w:szCs w:val="26"/>
          <w:lang w:val="en-US"/>
        </w:rPr>
        <w:t>php</w:t>
      </w:r>
      <w:proofErr w:type="spellEnd"/>
      <w:r w:rsidR="00B21C12">
        <w:rPr>
          <w:color w:val="000000"/>
          <w:sz w:val="26"/>
          <w:szCs w:val="26"/>
        </w:rPr>
        <w:t>).</w:t>
      </w:r>
    </w:p>
    <w:p w:rsidR="00305B9C" w:rsidRPr="00B21C12" w:rsidRDefault="00305B9C" w:rsidP="00D30367">
      <w:pPr>
        <w:shd w:val="clear" w:color="auto" w:fill="FFFFFF"/>
        <w:ind w:right="6" w:firstLine="567"/>
        <w:jc w:val="both"/>
        <w:rPr>
          <w:color w:val="000000"/>
          <w:sz w:val="26"/>
          <w:szCs w:val="26"/>
        </w:rPr>
      </w:pPr>
      <w:r w:rsidRPr="00B21C12">
        <w:rPr>
          <w:b/>
          <w:color w:val="000000"/>
          <w:sz w:val="26"/>
          <w:szCs w:val="26"/>
        </w:rPr>
        <w:t>Размер файла</w:t>
      </w:r>
      <w:r w:rsidRPr="00B21C12">
        <w:rPr>
          <w:color w:val="000000"/>
          <w:sz w:val="26"/>
          <w:szCs w:val="26"/>
        </w:rPr>
        <w:t xml:space="preserve"> – не бо</w:t>
      </w:r>
      <w:r w:rsidR="00FB3411">
        <w:rPr>
          <w:color w:val="000000"/>
          <w:sz w:val="26"/>
          <w:szCs w:val="26"/>
        </w:rPr>
        <w:t xml:space="preserve">лее 2 Мб, </w:t>
      </w:r>
      <w:r w:rsidR="00FB3411" w:rsidRPr="00FB3411">
        <w:rPr>
          <w:b/>
          <w:color w:val="000000"/>
          <w:sz w:val="26"/>
          <w:szCs w:val="26"/>
        </w:rPr>
        <w:t>формат файла</w:t>
      </w:r>
      <w:r w:rsidR="00FB3411">
        <w:rPr>
          <w:color w:val="000000"/>
          <w:sz w:val="26"/>
          <w:szCs w:val="26"/>
        </w:rPr>
        <w:t xml:space="preserve"> – </w:t>
      </w:r>
      <w:r w:rsidR="00FB3411" w:rsidRPr="00B21C12">
        <w:rPr>
          <w:b/>
          <w:color w:val="000000"/>
          <w:sz w:val="26"/>
          <w:szCs w:val="26"/>
          <w:lang w:val="en-US"/>
        </w:rPr>
        <w:t>doc</w:t>
      </w:r>
      <w:r w:rsidR="00FB3411" w:rsidRPr="00B21C12">
        <w:rPr>
          <w:b/>
          <w:color w:val="000000"/>
          <w:sz w:val="26"/>
          <w:szCs w:val="26"/>
        </w:rPr>
        <w:t>, .</w:t>
      </w:r>
      <w:proofErr w:type="spellStart"/>
      <w:r w:rsidR="00FB3411" w:rsidRPr="00B21C12">
        <w:rPr>
          <w:b/>
          <w:color w:val="000000"/>
          <w:sz w:val="26"/>
          <w:szCs w:val="26"/>
          <w:lang w:val="en-US"/>
        </w:rPr>
        <w:t>docx</w:t>
      </w:r>
      <w:proofErr w:type="spellEnd"/>
      <w:r w:rsidR="00FB3411" w:rsidRPr="00B21C12">
        <w:rPr>
          <w:b/>
          <w:color w:val="000000"/>
          <w:sz w:val="26"/>
          <w:szCs w:val="26"/>
        </w:rPr>
        <w:t>, .</w:t>
      </w:r>
      <w:proofErr w:type="spellStart"/>
      <w:r w:rsidR="00FB3411" w:rsidRPr="00B21C12">
        <w:rPr>
          <w:b/>
          <w:color w:val="000000"/>
          <w:sz w:val="26"/>
          <w:szCs w:val="26"/>
          <w:lang w:val="en-US"/>
        </w:rPr>
        <w:t>odt</w:t>
      </w:r>
      <w:proofErr w:type="spellEnd"/>
      <w:r w:rsidR="00FB3411" w:rsidRPr="00B21C12">
        <w:rPr>
          <w:color w:val="000000"/>
          <w:sz w:val="26"/>
          <w:szCs w:val="26"/>
        </w:rPr>
        <w:t xml:space="preserve"> или </w:t>
      </w:r>
      <w:r w:rsidR="00FB3411" w:rsidRPr="00B21C12">
        <w:rPr>
          <w:b/>
          <w:color w:val="000000"/>
          <w:sz w:val="26"/>
          <w:szCs w:val="26"/>
        </w:rPr>
        <w:t>.</w:t>
      </w:r>
      <w:r w:rsidR="00FB3411" w:rsidRPr="00B21C12">
        <w:rPr>
          <w:b/>
          <w:color w:val="000000"/>
          <w:sz w:val="26"/>
          <w:szCs w:val="26"/>
          <w:lang w:val="en-US"/>
        </w:rPr>
        <w:t>rtf</w:t>
      </w:r>
      <w:r w:rsidR="00FB3411" w:rsidRPr="00B21C12">
        <w:rPr>
          <w:color w:val="000000"/>
          <w:sz w:val="26"/>
          <w:szCs w:val="26"/>
        </w:rPr>
        <w:t>.</w:t>
      </w:r>
    </w:p>
    <w:p w:rsidR="009C290C" w:rsidRPr="00B21C12" w:rsidRDefault="009C290C" w:rsidP="00B226B7">
      <w:pPr>
        <w:shd w:val="clear" w:color="auto" w:fill="FFFFFF"/>
        <w:ind w:left="11" w:right="6" w:firstLine="556"/>
        <w:jc w:val="both"/>
        <w:rPr>
          <w:color w:val="000000"/>
          <w:sz w:val="26"/>
          <w:szCs w:val="26"/>
        </w:rPr>
      </w:pPr>
      <w:r w:rsidRPr="00B21C12">
        <w:rPr>
          <w:b/>
          <w:color w:val="000000"/>
          <w:sz w:val="26"/>
          <w:szCs w:val="26"/>
        </w:rPr>
        <w:t xml:space="preserve">Объем </w:t>
      </w:r>
      <w:r w:rsidR="00874D1A" w:rsidRPr="00B21C12">
        <w:rPr>
          <w:b/>
          <w:color w:val="000000"/>
          <w:sz w:val="26"/>
          <w:szCs w:val="26"/>
        </w:rPr>
        <w:t>тезисов</w:t>
      </w:r>
      <w:r w:rsidRPr="00B21C12">
        <w:rPr>
          <w:color w:val="000000"/>
          <w:sz w:val="26"/>
          <w:szCs w:val="26"/>
        </w:rPr>
        <w:t xml:space="preserve"> – </w:t>
      </w:r>
      <w:r w:rsidR="00874D1A" w:rsidRPr="00B21C12">
        <w:rPr>
          <w:color w:val="000000"/>
          <w:sz w:val="26"/>
          <w:szCs w:val="26"/>
        </w:rPr>
        <w:t xml:space="preserve">до </w:t>
      </w:r>
      <w:r w:rsidR="005570DC" w:rsidRPr="00B21C12">
        <w:rPr>
          <w:b/>
          <w:color w:val="000000"/>
          <w:sz w:val="26"/>
          <w:szCs w:val="26"/>
        </w:rPr>
        <w:t>2</w:t>
      </w:r>
      <w:r w:rsidR="00874D1A" w:rsidRPr="00B21C12">
        <w:rPr>
          <w:b/>
          <w:color w:val="000000"/>
          <w:sz w:val="26"/>
          <w:szCs w:val="26"/>
        </w:rPr>
        <w:t xml:space="preserve"> </w:t>
      </w:r>
      <w:r w:rsidRPr="00B21C12">
        <w:rPr>
          <w:b/>
          <w:bCs/>
          <w:color w:val="000000"/>
          <w:sz w:val="26"/>
          <w:szCs w:val="26"/>
        </w:rPr>
        <w:t>страниц</w:t>
      </w:r>
      <w:r w:rsidR="00FB3411">
        <w:rPr>
          <w:color w:val="000000"/>
          <w:sz w:val="26"/>
          <w:szCs w:val="26"/>
        </w:rPr>
        <w:t>.</w:t>
      </w:r>
    </w:p>
    <w:p w:rsidR="009C290C" w:rsidRPr="00B21C12" w:rsidRDefault="009C290C" w:rsidP="0029759B">
      <w:pPr>
        <w:shd w:val="clear" w:color="auto" w:fill="FFFFFF"/>
        <w:ind w:firstLine="556"/>
        <w:jc w:val="both"/>
        <w:rPr>
          <w:color w:val="000000"/>
          <w:sz w:val="26"/>
          <w:szCs w:val="26"/>
        </w:rPr>
      </w:pPr>
      <w:r w:rsidRPr="00B21C12">
        <w:rPr>
          <w:b/>
          <w:color w:val="000000"/>
          <w:sz w:val="26"/>
          <w:szCs w:val="26"/>
        </w:rPr>
        <w:t>Формат бумаги</w:t>
      </w:r>
      <w:r w:rsidRPr="00B21C12">
        <w:rPr>
          <w:color w:val="000000"/>
          <w:sz w:val="26"/>
          <w:szCs w:val="26"/>
        </w:rPr>
        <w:t xml:space="preserve"> </w:t>
      </w:r>
      <w:r w:rsidRPr="00B21C12">
        <w:rPr>
          <w:bCs/>
          <w:color w:val="000000"/>
          <w:sz w:val="26"/>
          <w:szCs w:val="26"/>
        </w:rPr>
        <w:t>А</w:t>
      </w:r>
      <w:proofErr w:type="gramStart"/>
      <w:r w:rsidRPr="00B21C12">
        <w:rPr>
          <w:bCs/>
          <w:color w:val="000000"/>
          <w:sz w:val="26"/>
          <w:szCs w:val="26"/>
        </w:rPr>
        <w:t>4</w:t>
      </w:r>
      <w:proofErr w:type="gramEnd"/>
      <w:r w:rsidRPr="00B21C12">
        <w:rPr>
          <w:color w:val="000000"/>
          <w:sz w:val="26"/>
          <w:szCs w:val="26"/>
        </w:rPr>
        <w:t xml:space="preserve"> (</w:t>
      </w:r>
      <w:r w:rsidRPr="00B21C12">
        <w:rPr>
          <w:bCs/>
          <w:color w:val="000000"/>
          <w:sz w:val="26"/>
          <w:szCs w:val="26"/>
        </w:rPr>
        <w:t>297</w:t>
      </w:r>
      <w:r w:rsidRPr="00B21C12">
        <w:rPr>
          <w:color w:val="000000"/>
          <w:sz w:val="26"/>
          <w:szCs w:val="26"/>
        </w:rPr>
        <w:t xml:space="preserve"> </w:t>
      </w:r>
      <w:r w:rsidR="009F068C">
        <w:rPr>
          <w:color w:val="000000"/>
          <w:sz w:val="26"/>
          <w:szCs w:val="26"/>
        </w:rPr>
        <w:t>×</w:t>
      </w:r>
      <w:r w:rsidRPr="00B21C12">
        <w:rPr>
          <w:color w:val="000000"/>
          <w:sz w:val="26"/>
          <w:szCs w:val="26"/>
        </w:rPr>
        <w:t xml:space="preserve"> </w:t>
      </w:r>
      <w:r w:rsidRPr="00B21C12">
        <w:rPr>
          <w:bCs/>
          <w:color w:val="000000"/>
          <w:sz w:val="26"/>
          <w:szCs w:val="26"/>
        </w:rPr>
        <w:t>210</w:t>
      </w:r>
      <w:r w:rsidRPr="00B21C12">
        <w:rPr>
          <w:color w:val="000000"/>
          <w:sz w:val="26"/>
          <w:szCs w:val="26"/>
        </w:rPr>
        <w:t xml:space="preserve"> мм), ориентация </w:t>
      </w:r>
      <w:r w:rsidR="0015058F" w:rsidRPr="00B21C12">
        <w:rPr>
          <w:color w:val="000000"/>
          <w:sz w:val="26"/>
          <w:szCs w:val="26"/>
        </w:rPr>
        <w:t>–</w:t>
      </w:r>
      <w:r w:rsidRPr="00B21C12">
        <w:rPr>
          <w:color w:val="000000"/>
          <w:sz w:val="26"/>
          <w:szCs w:val="26"/>
        </w:rPr>
        <w:t xml:space="preserve"> книжная</w:t>
      </w:r>
      <w:r w:rsidR="0015058F" w:rsidRPr="00B21C12">
        <w:rPr>
          <w:color w:val="000000"/>
          <w:sz w:val="26"/>
          <w:szCs w:val="26"/>
        </w:rPr>
        <w:t>, в</w:t>
      </w:r>
      <w:r w:rsidR="00874D1A" w:rsidRPr="00B21C12">
        <w:rPr>
          <w:color w:val="000000"/>
          <w:sz w:val="26"/>
          <w:szCs w:val="26"/>
        </w:rPr>
        <w:t xml:space="preserve">се </w:t>
      </w:r>
      <w:r w:rsidRPr="00B21C12">
        <w:rPr>
          <w:color w:val="000000"/>
          <w:sz w:val="26"/>
          <w:szCs w:val="26"/>
        </w:rPr>
        <w:t>поля –</w:t>
      </w:r>
      <w:r w:rsidR="0015058F" w:rsidRPr="00B21C12">
        <w:rPr>
          <w:color w:val="000000"/>
          <w:sz w:val="26"/>
          <w:szCs w:val="26"/>
        </w:rPr>
        <w:t xml:space="preserve"> по </w:t>
      </w:r>
      <w:r w:rsidRPr="00B21C12">
        <w:rPr>
          <w:color w:val="000000"/>
          <w:sz w:val="26"/>
          <w:szCs w:val="26"/>
        </w:rPr>
        <w:t xml:space="preserve">2 </w:t>
      </w:r>
      <w:r w:rsidR="00D118C9">
        <w:rPr>
          <w:color w:val="000000"/>
          <w:sz w:val="26"/>
          <w:szCs w:val="26"/>
          <w:lang w:val="en-US"/>
        </w:rPr>
        <w:t>c</w:t>
      </w:r>
      <w:r w:rsidRPr="00B21C12">
        <w:rPr>
          <w:color w:val="000000"/>
          <w:sz w:val="26"/>
          <w:szCs w:val="26"/>
        </w:rPr>
        <w:t>м</w:t>
      </w:r>
      <w:r w:rsidR="0015058F" w:rsidRPr="00B21C12">
        <w:rPr>
          <w:color w:val="000000"/>
          <w:sz w:val="26"/>
          <w:szCs w:val="26"/>
        </w:rPr>
        <w:t xml:space="preserve">, </w:t>
      </w:r>
      <w:r w:rsidR="0015058F" w:rsidRPr="00B21C12">
        <w:rPr>
          <w:bCs/>
          <w:color w:val="000000"/>
          <w:sz w:val="26"/>
          <w:szCs w:val="26"/>
        </w:rPr>
        <w:t>абзац –</w:t>
      </w:r>
      <w:r w:rsidR="0015058F" w:rsidRPr="00B21C12">
        <w:rPr>
          <w:color w:val="000000"/>
          <w:sz w:val="26"/>
          <w:szCs w:val="26"/>
        </w:rPr>
        <w:t xml:space="preserve"> 1</w:t>
      </w:r>
      <w:r w:rsidR="0015058F" w:rsidRPr="00B21C12">
        <w:rPr>
          <w:bCs/>
          <w:color w:val="000000"/>
          <w:sz w:val="26"/>
          <w:szCs w:val="26"/>
        </w:rPr>
        <w:t xml:space="preserve"> </w:t>
      </w:r>
      <w:r w:rsidR="00595C34" w:rsidRPr="00B21C12">
        <w:rPr>
          <w:bCs/>
          <w:color w:val="000000"/>
          <w:sz w:val="26"/>
          <w:szCs w:val="26"/>
        </w:rPr>
        <w:t>с</w:t>
      </w:r>
      <w:r w:rsidR="0015058F" w:rsidRPr="00B21C12">
        <w:rPr>
          <w:bCs/>
          <w:color w:val="000000"/>
          <w:sz w:val="26"/>
          <w:szCs w:val="26"/>
        </w:rPr>
        <w:t>м,</w:t>
      </w:r>
      <w:r w:rsidR="0015058F" w:rsidRPr="00B21C12">
        <w:rPr>
          <w:color w:val="000000"/>
          <w:sz w:val="26"/>
          <w:szCs w:val="26"/>
        </w:rPr>
        <w:t xml:space="preserve"> выравнивание – </w:t>
      </w:r>
      <w:r w:rsidR="0015058F" w:rsidRPr="00B21C12">
        <w:rPr>
          <w:bCs/>
          <w:color w:val="000000"/>
          <w:sz w:val="26"/>
          <w:szCs w:val="26"/>
        </w:rPr>
        <w:t>по ширине</w:t>
      </w:r>
      <w:r w:rsidR="00595C34" w:rsidRPr="00B21C12">
        <w:rPr>
          <w:color w:val="000000"/>
          <w:sz w:val="26"/>
          <w:szCs w:val="26"/>
        </w:rPr>
        <w:t>.</w:t>
      </w:r>
    </w:p>
    <w:p w:rsidR="009C290C" w:rsidRPr="00B21C12" w:rsidRDefault="00874D1A" w:rsidP="0029759B">
      <w:pPr>
        <w:shd w:val="clear" w:color="auto" w:fill="FFFFFF"/>
        <w:ind w:firstLine="556"/>
        <w:jc w:val="both"/>
        <w:rPr>
          <w:color w:val="000000"/>
          <w:spacing w:val="-4"/>
          <w:sz w:val="26"/>
          <w:szCs w:val="26"/>
        </w:rPr>
      </w:pPr>
      <w:r w:rsidRPr="00B21C12">
        <w:rPr>
          <w:b/>
          <w:color w:val="000000"/>
          <w:sz w:val="26"/>
          <w:szCs w:val="26"/>
        </w:rPr>
        <w:t>Ш</w:t>
      </w:r>
      <w:r w:rsidR="009C290C" w:rsidRPr="00B21C12">
        <w:rPr>
          <w:b/>
          <w:color w:val="000000"/>
          <w:sz w:val="26"/>
          <w:szCs w:val="26"/>
        </w:rPr>
        <w:t>рифт</w:t>
      </w:r>
      <w:r w:rsidR="009C290C" w:rsidRPr="00B21C12">
        <w:rPr>
          <w:color w:val="000000"/>
          <w:sz w:val="26"/>
          <w:szCs w:val="26"/>
        </w:rPr>
        <w:t xml:space="preserve"> </w:t>
      </w:r>
      <w:r w:rsidR="009C290C" w:rsidRPr="00B21C12">
        <w:rPr>
          <w:color w:val="000000"/>
          <w:sz w:val="26"/>
          <w:szCs w:val="26"/>
          <w:lang w:val="en-US"/>
        </w:rPr>
        <w:t>Times</w:t>
      </w:r>
      <w:r w:rsidR="009C290C" w:rsidRPr="00B21C12">
        <w:rPr>
          <w:color w:val="000000"/>
          <w:sz w:val="26"/>
          <w:szCs w:val="26"/>
        </w:rPr>
        <w:t xml:space="preserve"> </w:t>
      </w:r>
      <w:r w:rsidR="009C290C" w:rsidRPr="00B21C12">
        <w:rPr>
          <w:color w:val="000000"/>
          <w:sz w:val="26"/>
          <w:szCs w:val="26"/>
          <w:lang w:val="en-US"/>
        </w:rPr>
        <w:t>New</w:t>
      </w:r>
      <w:r w:rsidR="009C290C" w:rsidRPr="00B21C12">
        <w:rPr>
          <w:color w:val="000000"/>
          <w:sz w:val="26"/>
          <w:szCs w:val="26"/>
        </w:rPr>
        <w:t xml:space="preserve"> </w:t>
      </w:r>
      <w:r w:rsidR="009C290C" w:rsidRPr="00B21C12">
        <w:rPr>
          <w:color w:val="000000"/>
          <w:sz w:val="26"/>
          <w:szCs w:val="26"/>
          <w:lang w:val="en-US"/>
        </w:rPr>
        <w:t>Roman</w:t>
      </w:r>
      <w:r w:rsidR="009C290C" w:rsidRPr="00B21C12">
        <w:rPr>
          <w:b/>
          <w:color w:val="000000"/>
          <w:sz w:val="26"/>
          <w:szCs w:val="26"/>
        </w:rPr>
        <w:t xml:space="preserve">, </w:t>
      </w:r>
      <w:r w:rsidR="009C290C" w:rsidRPr="00B21C12">
        <w:rPr>
          <w:color w:val="000000"/>
          <w:sz w:val="26"/>
          <w:szCs w:val="26"/>
        </w:rPr>
        <w:t>размер 1</w:t>
      </w:r>
      <w:r w:rsidRPr="00B21C12">
        <w:rPr>
          <w:color w:val="000000"/>
          <w:sz w:val="26"/>
          <w:szCs w:val="26"/>
        </w:rPr>
        <w:t>4</w:t>
      </w:r>
      <w:r w:rsidR="009C290C" w:rsidRPr="00B21C12">
        <w:rPr>
          <w:color w:val="000000"/>
          <w:sz w:val="26"/>
          <w:szCs w:val="26"/>
        </w:rPr>
        <w:t xml:space="preserve"> </w:t>
      </w:r>
      <w:proofErr w:type="spellStart"/>
      <w:r w:rsidR="009C290C" w:rsidRPr="00B21C12">
        <w:rPr>
          <w:color w:val="000000"/>
          <w:sz w:val="26"/>
          <w:szCs w:val="26"/>
        </w:rPr>
        <w:t>пт</w:t>
      </w:r>
      <w:proofErr w:type="spellEnd"/>
      <w:r w:rsidR="009C290C" w:rsidRPr="00B21C12">
        <w:rPr>
          <w:color w:val="000000"/>
          <w:sz w:val="26"/>
          <w:szCs w:val="26"/>
        </w:rPr>
        <w:t xml:space="preserve">, межстрочный интервал </w:t>
      </w:r>
      <w:r w:rsidRPr="00B21C12">
        <w:rPr>
          <w:color w:val="000000"/>
          <w:sz w:val="26"/>
          <w:szCs w:val="26"/>
        </w:rPr>
        <w:t>18 пт</w:t>
      </w:r>
      <w:r w:rsidR="009C290C" w:rsidRPr="00B21C12">
        <w:rPr>
          <w:color w:val="000000"/>
          <w:sz w:val="26"/>
          <w:szCs w:val="26"/>
        </w:rPr>
        <w:t>.</w:t>
      </w:r>
      <w:r w:rsidR="00E433DC" w:rsidRPr="00B21C12">
        <w:rPr>
          <w:color w:val="000000"/>
          <w:sz w:val="26"/>
          <w:szCs w:val="26"/>
        </w:rPr>
        <w:t xml:space="preserve"> </w:t>
      </w:r>
      <w:r w:rsidR="009C290C" w:rsidRPr="00B21C12">
        <w:rPr>
          <w:color w:val="000000"/>
          <w:spacing w:val="-4"/>
          <w:sz w:val="26"/>
          <w:szCs w:val="26"/>
        </w:rPr>
        <w:t>Автом</w:t>
      </w:r>
      <w:r w:rsidR="009C290C" w:rsidRPr="00B21C12">
        <w:rPr>
          <w:color w:val="000000"/>
          <w:spacing w:val="-4"/>
          <w:sz w:val="26"/>
          <w:szCs w:val="26"/>
        </w:rPr>
        <w:t>а</w:t>
      </w:r>
      <w:r w:rsidR="009C290C" w:rsidRPr="00B21C12">
        <w:rPr>
          <w:color w:val="000000"/>
          <w:spacing w:val="-4"/>
          <w:sz w:val="26"/>
          <w:szCs w:val="26"/>
        </w:rPr>
        <w:t>тическая расстановка переносов обязательна.</w:t>
      </w:r>
      <w:r w:rsidR="0015058F" w:rsidRPr="00B21C12">
        <w:rPr>
          <w:color w:val="000000"/>
          <w:spacing w:val="-4"/>
          <w:sz w:val="26"/>
          <w:szCs w:val="26"/>
        </w:rPr>
        <w:t xml:space="preserve"> </w:t>
      </w:r>
      <w:r w:rsidR="009C290C" w:rsidRPr="00B21C12">
        <w:rPr>
          <w:color w:val="000000"/>
          <w:spacing w:val="-4"/>
          <w:sz w:val="26"/>
          <w:szCs w:val="26"/>
        </w:rPr>
        <w:t>Страницы не нумеруются.</w:t>
      </w:r>
    </w:p>
    <w:p w:rsidR="002A3F7B" w:rsidRPr="00B21C12" w:rsidRDefault="00B852FC" w:rsidP="002A3F7B">
      <w:pPr>
        <w:ind w:firstLine="567"/>
        <w:jc w:val="both"/>
        <w:rPr>
          <w:sz w:val="26"/>
          <w:szCs w:val="26"/>
        </w:rPr>
      </w:pPr>
      <w:r w:rsidRPr="00B21C12">
        <w:rPr>
          <w:b/>
          <w:sz w:val="26"/>
          <w:szCs w:val="26"/>
        </w:rPr>
        <w:t>Н</w:t>
      </w:r>
      <w:r w:rsidR="009C290C" w:rsidRPr="00B21C12">
        <w:rPr>
          <w:b/>
          <w:sz w:val="26"/>
          <w:szCs w:val="26"/>
        </w:rPr>
        <w:t>азвание доклада</w:t>
      </w:r>
      <w:r w:rsidR="009C290C" w:rsidRPr="00B21C12">
        <w:rPr>
          <w:sz w:val="26"/>
          <w:szCs w:val="26"/>
        </w:rPr>
        <w:t xml:space="preserve"> </w:t>
      </w:r>
      <w:r w:rsidRPr="00B21C12">
        <w:rPr>
          <w:sz w:val="26"/>
          <w:szCs w:val="26"/>
        </w:rPr>
        <w:t>–</w:t>
      </w:r>
      <w:r w:rsidR="00462D60" w:rsidRPr="00B21C12">
        <w:rPr>
          <w:sz w:val="26"/>
          <w:szCs w:val="26"/>
        </w:rPr>
        <w:t xml:space="preserve"> полужирным </w:t>
      </w:r>
      <w:r w:rsidRPr="00B21C12">
        <w:rPr>
          <w:sz w:val="26"/>
          <w:szCs w:val="26"/>
        </w:rPr>
        <w:t>шрифт</w:t>
      </w:r>
      <w:r w:rsidR="00462D60" w:rsidRPr="00B21C12">
        <w:rPr>
          <w:sz w:val="26"/>
          <w:szCs w:val="26"/>
        </w:rPr>
        <w:t>ом</w:t>
      </w:r>
      <w:r w:rsidR="0031063E" w:rsidRPr="00B21C12">
        <w:rPr>
          <w:sz w:val="26"/>
          <w:szCs w:val="26"/>
        </w:rPr>
        <w:t>,</w:t>
      </w:r>
      <w:r w:rsidR="00462D60" w:rsidRPr="00B21C12">
        <w:rPr>
          <w:sz w:val="26"/>
          <w:szCs w:val="26"/>
        </w:rPr>
        <w:t xml:space="preserve"> </w:t>
      </w:r>
      <w:r w:rsidR="00462D60" w:rsidRPr="00B21C12">
        <w:rPr>
          <w:color w:val="000000"/>
          <w:sz w:val="26"/>
          <w:szCs w:val="26"/>
        </w:rPr>
        <w:t xml:space="preserve">размер 17 </w:t>
      </w:r>
      <w:proofErr w:type="spellStart"/>
      <w:r w:rsidR="00462D60" w:rsidRPr="00B21C12">
        <w:rPr>
          <w:color w:val="000000"/>
          <w:sz w:val="26"/>
          <w:szCs w:val="26"/>
        </w:rPr>
        <w:t>пт</w:t>
      </w:r>
      <w:proofErr w:type="spellEnd"/>
      <w:r w:rsidR="00462D60" w:rsidRPr="00B21C12">
        <w:rPr>
          <w:color w:val="000000"/>
          <w:sz w:val="26"/>
          <w:szCs w:val="26"/>
        </w:rPr>
        <w:t>,</w:t>
      </w:r>
      <w:r w:rsidR="0031063E" w:rsidRPr="00B21C12">
        <w:rPr>
          <w:sz w:val="26"/>
          <w:szCs w:val="26"/>
        </w:rPr>
        <w:t xml:space="preserve"> выравнивание – по </w:t>
      </w:r>
      <w:r w:rsidR="00462D60" w:rsidRPr="00B21C12">
        <w:rPr>
          <w:sz w:val="26"/>
          <w:szCs w:val="26"/>
        </w:rPr>
        <w:t>левому краю</w:t>
      </w:r>
      <w:r w:rsidR="00BE50D0" w:rsidRPr="00B21C12">
        <w:rPr>
          <w:sz w:val="26"/>
          <w:szCs w:val="26"/>
        </w:rPr>
        <w:t>.</w:t>
      </w:r>
      <w:r w:rsidR="0008145F" w:rsidRPr="00B21C12">
        <w:rPr>
          <w:sz w:val="26"/>
          <w:szCs w:val="26"/>
        </w:rPr>
        <w:t xml:space="preserve"> </w:t>
      </w:r>
      <w:r w:rsidR="00BE50D0" w:rsidRPr="00B21C12">
        <w:rPr>
          <w:b/>
          <w:sz w:val="26"/>
          <w:szCs w:val="26"/>
        </w:rPr>
        <w:t>Ф</w:t>
      </w:r>
      <w:r w:rsidR="009C290C" w:rsidRPr="00B21C12">
        <w:rPr>
          <w:b/>
          <w:sz w:val="26"/>
          <w:szCs w:val="26"/>
        </w:rPr>
        <w:t xml:space="preserve">амилия </w:t>
      </w:r>
      <w:r w:rsidRPr="00B21C12">
        <w:rPr>
          <w:b/>
          <w:sz w:val="26"/>
          <w:szCs w:val="26"/>
        </w:rPr>
        <w:t>и инициалы авторов</w:t>
      </w:r>
      <w:r w:rsidRPr="00B21C12">
        <w:rPr>
          <w:sz w:val="26"/>
          <w:szCs w:val="26"/>
        </w:rPr>
        <w:t xml:space="preserve"> – </w:t>
      </w:r>
      <w:r w:rsidR="00462D60" w:rsidRPr="00B21C12">
        <w:rPr>
          <w:sz w:val="26"/>
          <w:szCs w:val="26"/>
        </w:rPr>
        <w:t xml:space="preserve">полужирным шрифтом, </w:t>
      </w:r>
      <w:r w:rsidR="00462D60" w:rsidRPr="00B21C12">
        <w:rPr>
          <w:color w:val="000000"/>
          <w:sz w:val="26"/>
          <w:szCs w:val="26"/>
        </w:rPr>
        <w:t>размер 14</w:t>
      </w:r>
      <w:r w:rsidR="00B21C12">
        <w:rPr>
          <w:color w:val="000000"/>
          <w:sz w:val="26"/>
          <w:szCs w:val="26"/>
        </w:rPr>
        <w:t> </w:t>
      </w:r>
      <w:proofErr w:type="spellStart"/>
      <w:r w:rsidR="00462D60" w:rsidRPr="00B21C12">
        <w:rPr>
          <w:color w:val="000000"/>
          <w:sz w:val="26"/>
          <w:szCs w:val="26"/>
        </w:rPr>
        <w:t>пт</w:t>
      </w:r>
      <w:proofErr w:type="spellEnd"/>
      <w:r w:rsidR="00462D60" w:rsidRPr="00B21C12">
        <w:rPr>
          <w:color w:val="000000"/>
          <w:sz w:val="26"/>
          <w:szCs w:val="26"/>
        </w:rPr>
        <w:t>,</w:t>
      </w:r>
      <w:r w:rsidR="00462D60" w:rsidRPr="00B21C12">
        <w:rPr>
          <w:sz w:val="26"/>
          <w:szCs w:val="26"/>
        </w:rPr>
        <w:t xml:space="preserve"> выравнивание – по левому краю</w:t>
      </w:r>
      <w:r w:rsidR="00BE50D0" w:rsidRPr="00B21C12">
        <w:rPr>
          <w:sz w:val="26"/>
          <w:szCs w:val="26"/>
        </w:rPr>
        <w:t>.</w:t>
      </w:r>
      <w:r w:rsidR="0008145F" w:rsidRPr="00B21C12">
        <w:rPr>
          <w:sz w:val="26"/>
          <w:szCs w:val="26"/>
        </w:rPr>
        <w:t xml:space="preserve"> </w:t>
      </w:r>
      <w:r w:rsidR="00BE50D0" w:rsidRPr="00B21C12">
        <w:rPr>
          <w:b/>
          <w:sz w:val="26"/>
          <w:szCs w:val="26"/>
        </w:rPr>
        <w:t>Н</w:t>
      </w:r>
      <w:r w:rsidR="009C290C" w:rsidRPr="00B21C12">
        <w:rPr>
          <w:b/>
          <w:sz w:val="26"/>
          <w:szCs w:val="26"/>
        </w:rPr>
        <w:t>азвание организаци</w:t>
      </w:r>
      <w:r w:rsidR="00BE50D0" w:rsidRPr="00B21C12">
        <w:rPr>
          <w:b/>
          <w:sz w:val="26"/>
          <w:szCs w:val="26"/>
        </w:rPr>
        <w:t>и</w:t>
      </w:r>
      <w:r w:rsidRPr="00B21C12">
        <w:rPr>
          <w:sz w:val="26"/>
          <w:szCs w:val="26"/>
        </w:rPr>
        <w:t xml:space="preserve"> – </w:t>
      </w:r>
      <w:r w:rsidR="00462D60" w:rsidRPr="00B21C12">
        <w:rPr>
          <w:sz w:val="26"/>
          <w:szCs w:val="26"/>
        </w:rPr>
        <w:t>курсивным шри</w:t>
      </w:r>
      <w:r w:rsidR="00462D60" w:rsidRPr="00B21C12">
        <w:rPr>
          <w:sz w:val="26"/>
          <w:szCs w:val="26"/>
        </w:rPr>
        <w:t>ф</w:t>
      </w:r>
      <w:r w:rsidR="00462D60" w:rsidRPr="00B21C12">
        <w:rPr>
          <w:sz w:val="26"/>
          <w:szCs w:val="26"/>
        </w:rPr>
        <w:t xml:space="preserve">том, </w:t>
      </w:r>
      <w:r w:rsidR="00462D60" w:rsidRPr="00B21C12">
        <w:rPr>
          <w:color w:val="000000"/>
          <w:sz w:val="26"/>
          <w:szCs w:val="26"/>
        </w:rPr>
        <w:t xml:space="preserve">размер 13 </w:t>
      </w:r>
      <w:proofErr w:type="spellStart"/>
      <w:r w:rsidR="00462D60" w:rsidRPr="00B21C12">
        <w:rPr>
          <w:color w:val="000000"/>
          <w:sz w:val="26"/>
          <w:szCs w:val="26"/>
        </w:rPr>
        <w:t>пт</w:t>
      </w:r>
      <w:proofErr w:type="spellEnd"/>
      <w:r w:rsidR="00462D60" w:rsidRPr="00B21C12">
        <w:rPr>
          <w:color w:val="000000"/>
          <w:sz w:val="26"/>
          <w:szCs w:val="26"/>
        </w:rPr>
        <w:t>,</w:t>
      </w:r>
      <w:r w:rsidR="00462D60" w:rsidRPr="00B21C12">
        <w:rPr>
          <w:sz w:val="26"/>
          <w:szCs w:val="26"/>
        </w:rPr>
        <w:t xml:space="preserve"> выравнивание – по левому краю</w:t>
      </w:r>
      <w:r w:rsidRPr="00B21C12">
        <w:rPr>
          <w:sz w:val="26"/>
          <w:szCs w:val="26"/>
        </w:rPr>
        <w:t>.</w:t>
      </w:r>
    </w:p>
    <w:p w:rsidR="00B852FC" w:rsidRPr="00B21C12" w:rsidRDefault="00B852FC" w:rsidP="002A3F7B">
      <w:pPr>
        <w:ind w:firstLine="567"/>
        <w:jc w:val="both"/>
        <w:rPr>
          <w:color w:val="000000"/>
          <w:sz w:val="26"/>
          <w:szCs w:val="26"/>
        </w:rPr>
      </w:pPr>
      <w:r w:rsidRPr="00B21C12">
        <w:rPr>
          <w:b/>
          <w:color w:val="000000"/>
          <w:sz w:val="26"/>
          <w:szCs w:val="26"/>
        </w:rPr>
        <w:t>Таблицы</w:t>
      </w:r>
      <w:r w:rsidRPr="00B21C12">
        <w:rPr>
          <w:color w:val="000000"/>
          <w:sz w:val="26"/>
          <w:szCs w:val="26"/>
        </w:rPr>
        <w:t xml:space="preserve"> </w:t>
      </w:r>
      <w:r w:rsidR="00462D60" w:rsidRPr="00B21C12">
        <w:rPr>
          <w:color w:val="000000"/>
          <w:sz w:val="26"/>
          <w:szCs w:val="26"/>
        </w:rPr>
        <w:t>должны быть реализованы средствами работы с таблицами текстов</w:t>
      </w:r>
      <w:r w:rsidR="00462D60" w:rsidRPr="00B21C12">
        <w:rPr>
          <w:color w:val="000000"/>
          <w:sz w:val="26"/>
          <w:szCs w:val="26"/>
        </w:rPr>
        <w:t>о</w:t>
      </w:r>
      <w:r w:rsidR="00462D60" w:rsidRPr="00B21C12">
        <w:rPr>
          <w:color w:val="000000"/>
          <w:sz w:val="26"/>
          <w:szCs w:val="26"/>
        </w:rPr>
        <w:t>го редактора</w:t>
      </w:r>
      <w:r w:rsidRPr="00B21C12">
        <w:rPr>
          <w:color w:val="000000"/>
          <w:sz w:val="26"/>
          <w:szCs w:val="26"/>
        </w:rPr>
        <w:t xml:space="preserve">, размер </w:t>
      </w:r>
      <w:r w:rsidR="00462D60" w:rsidRPr="00B21C12">
        <w:rPr>
          <w:color w:val="000000"/>
          <w:sz w:val="26"/>
          <w:szCs w:val="26"/>
        </w:rPr>
        <w:t xml:space="preserve">шрифта – </w:t>
      </w:r>
      <w:r w:rsidRPr="00B21C12">
        <w:rPr>
          <w:color w:val="000000"/>
          <w:sz w:val="26"/>
          <w:szCs w:val="26"/>
        </w:rPr>
        <w:t xml:space="preserve">12 </w:t>
      </w:r>
      <w:proofErr w:type="spellStart"/>
      <w:r w:rsidRPr="00B21C12">
        <w:rPr>
          <w:color w:val="000000"/>
          <w:sz w:val="26"/>
          <w:szCs w:val="26"/>
        </w:rPr>
        <w:t>пт</w:t>
      </w:r>
      <w:proofErr w:type="spellEnd"/>
      <w:r w:rsidRPr="00B21C12">
        <w:rPr>
          <w:color w:val="000000"/>
          <w:sz w:val="26"/>
          <w:szCs w:val="26"/>
        </w:rPr>
        <w:t xml:space="preserve">, интервал – одинарный. Название таблицы </w:t>
      </w:r>
      <w:r w:rsidR="00462D60" w:rsidRPr="00B21C12">
        <w:rPr>
          <w:color w:val="000000"/>
          <w:sz w:val="26"/>
          <w:szCs w:val="26"/>
        </w:rPr>
        <w:t>– размер шрифта</w:t>
      </w:r>
      <w:r w:rsidRPr="00B21C12">
        <w:rPr>
          <w:color w:val="000000"/>
          <w:sz w:val="26"/>
          <w:szCs w:val="26"/>
        </w:rPr>
        <w:t xml:space="preserve"> 14 </w:t>
      </w:r>
      <w:proofErr w:type="spellStart"/>
      <w:r w:rsidRPr="00B21C12">
        <w:rPr>
          <w:color w:val="000000"/>
          <w:sz w:val="26"/>
          <w:szCs w:val="26"/>
        </w:rPr>
        <w:t>пт</w:t>
      </w:r>
      <w:proofErr w:type="spellEnd"/>
      <w:r w:rsidRPr="00B21C12">
        <w:rPr>
          <w:color w:val="000000"/>
          <w:sz w:val="26"/>
          <w:szCs w:val="26"/>
        </w:rPr>
        <w:t xml:space="preserve">, </w:t>
      </w:r>
      <w:r w:rsidR="00462D60" w:rsidRPr="00B21C12">
        <w:rPr>
          <w:color w:val="000000"/>
          <w:sz w:val="26"/>
          <w:szCs w:val="26"/>
        </w:rPr>
        <w:t xml:space="preserve">одинарный </w:t>
      </w:r>
      <w:r w:rsidRPr="00B21C12">
        <w:rPr>
          <w:color w:val="000000"/>
          <w:sz w:val="26"/>
          <w:szCs w:val="26"/>
        </w:rPr>
        <w:t xml:space="preserve">интервал, выравнивание – по </w:t>
      </w:r>
      <w:r w:rsidR="00462D60" w:rsidRPr="00B21C12">
        <w:rPr>
          <w:color w:val="000000"/>
          <w:sz w:val="26"/>
          <w:szCs w:val="26"/>
        </w:rPr>
        <w:t>левому краю</w:t>
      </w:r>
      <w:r w:rsidRPr="00B21C12">
        <w:rPr>
          <w:color w:val="000000"/>
          <w:sz w:val="26"/>
          <w:szCs w:val="26"/>
        </w:rPr>
        <w:t>.</w:t>
      </w:r>
    </w:p>
    <w:p w:rsidR="00B852FC" w:rsidRPr="00B21C12" w:rsidRDefault="00B852FC" w:rsidP="0029759B">
      <w:pPr>
        <w:ind w:firstLine="567"/>
        <w:jc w:val="both"/>
        <w:rPr>
          <w:sz w:val="26"/>
          <w:szCs w:val="26"/>
        </w:rPr>
      </w:pPr>
      <w:r w:rsidRPr="00B21C12">
        <w:rPr>
          <w:b/>
          <w:color w:val="000000"/>
          <w:sz w:val="26"/>
          <w:szCs w:val="26"/>
        </w:rPr>
        <w:t>Рисунки</w:t>
      </w:r>
      <w:r w:rsidRPr="00B21C12">
        <w:rPr>
          <w:color w:val="000000"/>
          <w:sz w:val="26"/>
          <w:szCs w:val="26"/>
        </w:rPr>
        <w:t xml:space="preserve"> </w:t>
      </w:r>
      <w:r w:rsidR="005C128E" w:rsidRPr="00B21C12">
        <w:rPr>
          <w:sz w:val="26"/>
          <w:szCs w:val="26"/>
        </w:rPr>
        <w:t xml:space="preserve">должны быть </w:t>
      </w:r>
      <w:r w:rsidR="003B6E7E" w:rsidRPr="00B21C12">
        <w:rPr>
          <w:sz w:val="26"/>
          <w:szCs w:val="26"/>
        </w:rPr>
        <w:t>приемлемого для просмотра качества и размера.</w:t>
      </w:r>
      <w:r w:rsidRPr="00B21C12">
        <w:rPr>
          <w:color w:val="000000"/>
          <w:sz w:val="26"/>
          <w:szCs w:val="26"/>
        </w:rPr>
        <w:t xml:space="preserve"> </w:t>
      </w:r>
      <w:r w:rsidR="00127DA4" w:rsidRPr="00B21C12">
        <w:rPr>
          <w:sz w:val="26"/>
          <w:szCs w:val="26"/>
        </w:rPr>
        <w:t>С</w:t>
      </w:r>
      <w:r w:rsidR="00127DA4" w:rsidRPr="00B21C12">
        <w:rPr>
          <w:sz w:val="26"/>
          <w:szCs w:val="26"/>
        </w:rPr>
        <w:t>о</w:t>
      </w:r>
      <w:r w:rsidR="00127DA4" w:rsidRPr="00B21C12">
        <w:rPr>
          <w:sz w:val="26"/>
          <w:szCs w:val="26"/>
        </w:rPr>
        <w:t xml:space="preserve">ставные рисунки должны быть объединены в группы. </w:t>
      </w:r>
      <w:r w:rsidRPr="00B21C12">
        <w:rPr>
          <w:color w:val="000000"/>
          <w:sz w:val="26"/>
          <w:szCs w:val="26"/>
        </w:rPr>
        <w:t>Подписи к</w:t>
      </w:r>
      <w:r w:rsidR="003B6E7E" w:rsidRPr="00B21C12">
        <w:rPr>
          <w:color w:val="000000"/>
          <w:sz w:val="26"/>
          <w:szCs w:val="26"/>
        </w:rPr>
        <w:t xml:space="preserve"> </w:t>
      </w:r>
      <w:r w:rsidRPr="00B21C12">
        <w:rPr>
          <w:color w:val="000000"/>
          <w:sz w:val="26"/>
          <w:szCs w:val="26"/>
        </w:rPr>
        <w:t>рисунк</w:t>
      </w:r>
      <w:r w:rsidR="0015058F" w:rsidRPr="00B21C12">
        <w:rPr>
          <w:color w:val="000000"/>
          <w:sz w:val="26"/>
          <w:szCs w:val="26"/>
        </w:rPr>
        <w:t>у</w:t>
      </w:r>
      <w:r w:rsidRPr="00B21C12">
        <w:rPr>
          <w:color w:val="000000"/>
          <w:sz w:val="26"/>
          <w:szCs w:val="26"/>
        </w:rPr>
        <w:t xml:space="preserve"> выполн</w:t>
      </w:r>
      <w:r w:rsidRPr="00B21C12">
        <w:rPr>
          <w:color w:val="000000"/>
          <w:sz w:val="26"/>
          <w:szCs w:val="26"/>
        </w:rPr>
        <w:t>я</w:t>
      </w:r>
      <w:r w:rsidRPr="00B21C12">
        <w:rPr>
          <w:color w:val="000000"/>
          <w:sz w:val="26"/>
          <w:szCs w:val="26"/>
        </w:rPr>
        <w:t xml:space="preserve">ются </w:t>
      </w:r>
      <w:r w:rsidR="005507BD" w:rsidRPr="00B21C12">
        <w:rPr>
          <w:color w:val="000000"/>
          <w:sz w:val="26"/>
          <w:szCs w:val="26"/>
        </w:rPr>
        <w:t>полужирны</w:t>
      </w:r>
      <w:r w:rsidR="003B6E7E" w:rsidRPr="00B21C12">
        <w:rPr>
          <w:color w:val="000000"/>
          <w:sz w:val="26"/>
          <w:szCs w:val="26"/>
        </w:rPr>
        <w:t>м шрифтом</w:t>
      </w:r>
      <w:r w:rsidR="005507BD" w:rsidRPr="00B21C12">
        <w:rPr>
          <w:color w:val="000000"/>
          <w:sz w:val="26"/>
          <w:szCs w:val="26"/>
        </w:rPr>
        <w:t xml:space="preserve">, </w:t>
      </w:r>
      <w:r w:rsidRPr="00B21C12">
        <w:rPr>
          <w:color w:val="000000"/>
          <w:sz w:val="26"/>
          <w:szCs w:val="26"/>
        </w:rPr>
        <w:t>размер 1</w:t>
      </w:r>
      <w:r w:rsidR="00936723" w:rsidRPr="00B21C12">
        <w:rPr>
          <w:color w:val="000000"/>
          <w:sz w:val="26"/>
          <w:szCs w:val="26"/>
        </w:rPr>
        <w:t>4</w:t>
      </w:r>
      <w:r w:rsidRPr="00B21C12">
        <w:rPr>
          <w:color w:val="000000"/>
          <w:sz w:val="26"/>
          <w:szCs w:val="26"/>
        </w:rPr>
        <w:t xml:space="preserve"> </w:t>
      </w:r>
      <w:proofErr w:type="spellStart"/>
      <w:r w:rsidRPr="00B21C12">
        <w:rPr>
          <w:color w:val="000000"/>
          <w:sz w:val="26"/>
          <w:szCs w:val="26"/>
        </w:rPr>
        <w:t>пт</w:t>
      </w:r>
      <w:proofErr w:type="spellEnd"/>
      <w:r w:rsidRPr="00B21C12">
        <w:rPr>
          <w:color w:val="000000"/>
          <w:sz w:val="26"/>
          <w:szCs w:val="26"/>
        </w:rPr>
        <w:t xml:space="preserve">, интервал – одинарный, выравнивание </w:t>
      </w:r>
      <w:r w:rsidR="00B21C12">
        <w:rPr>
          <w:color w:val="000000"/>
          <w:sz w:val="26"/>
          <w:szCs w:val="26"/>
        </w:rPr>
        <w:t xml:space="preserve">– </w:t>
      </w:r>
      <w:r w:rsidRPr="00B21C12">
        <w:rPr>
          <w:color w:val="000000"/>
          <w:sz w:val="26"/>
          <w:szCs w:val="26"/>
        </w:rPr>
        <w:t>по центру.</w:t>
      </w:r>
      <w:r w:rsidR="00936723" w:rsidRPr="00B21C12">
        <w:rPr>
          <w:color w:val="000000"/>
          <w:sz w:val="26"/>
          <w:szCs w:val="26"/>
        </w:rPr>
        <w:t xml:space="preserve"> </w:t>
      </w:r>
      <w:r w:rsidR="00936723" w:rsidRPr="00B21C12">
        <w:rPr>
          <w:sz w:val="26"/>
          <w:szCs w:val="26"/>
        </w:rPr>
        <w:t>Пояснительные данные помещаются между рисунком и его названием, размер шрифта 12 пт.</w:t>
      </w:r>
    </w:p>
    <w:p w:rsidR="00936723" w:rsidRPr="00636746" w:rsidRDefault="00936723" w:rsidP="00936723">
      <w:pPr>
        <w:shd w:val="clear" w:color="auto" w:fill="FFFFFF"/>
        <w:ind w:firstLine="698"/>
        <w:jc w:val="both"/>
        <w:rPr>
          <w:b/>
          <w:bCs/>
          <w:color w:val="000000"/>
          <w:sz w:val="26"/>
          <w:szCs w:val="26"/>
        </w:rPr>
      </w:pPr>
      <w:r w:rsidRPr="00B21C12">
        <w:rPr>
          <w:b/>
          <w:bCs/>
          <w:color w:val="000000"/>
          <w:sz w:val="26"/>
          <w:szCs w:val="26"/>
        </w:rPr>
        <w:t xml:space="preserve">Ссылки </w:t>
      </w:r>
      <w:r w:rsidRPr="00B21C12">
        <w:rPr>
          <w:color w:val="000000"/>
          <w:sz w:val="26"/>
          <w:szCs w:val="26"/>
        </w:rPr>
        <w:t>на литературу приводятся в виде номера из списка литературы в</w:t>
      </w:r>
      <w:r w:rsidR="00B21C12">
        <w:rPr>
          <w:color w:val="000000"/>
          <w:sz w:val="26"/>
          <w:szCs w:val="26"/>
        </w:rPr>
        <w:t> </w:t>
      </w:r>
      <w:r w:rsidRPr="00B21C12">
        <w:rPr>
          <w:color w:val="000000"/>
          <w:sz w:val="26"/>
          <w:szCs w:val="26"/>
        </w:rPr>
        <w:t>квадратных скобках в порядке упоминания в тексте. Список литературы оформл</w:t>
      </w:r>
      <w:r w:rsidRPr="00B21C12">
        <w:rPr>
          <w:color w:val="000000"/>
          <w:sz w:val="26"/>
          <w:szCs w:val="26"/>
        </w:rPr>
        <w:t>я</w:t>
      </w:r>
      <w:r w:rsidRPr="00B21C12">
        <w:rPr>
          <w:color w:val="000000"/>
          <w:sz w:val="26"/>
          <w:szCs w:val="26"/>
        </w:rPr>
        <w:t xml:space="preserve">ется шрифтом 12 </w:t>
      </w:r>
      <w:proofErr w:type="spellStart"/>
      <w:r w:rsidRPr="00B21C12">
        <w:rPr>
          <w:color w:val="000000"/>
          <w:sz w:val="26"/>
          <w:szCs w:val="26"/>
        </w:rPr>
        <w:t>пт</w:t>
      </w:r>
      <w:proofErr w:type="spellEnd"/>
      <w:r w:rsidRPr="00B21C12">
        <w:rPr>
          <w:color w:val="000000"/>
          <w:sz w:val="26"/>
          <w:szCs w:val="26"/>
        </w:rPr>
        <w:t>, одинарный интервал, выравнивание – по левому краю (</w:t>
      </w:r>
      <w:r w:rsidR="00B21C12">
        <w:rPr>
          <w:color w:val="000000"/>
          <w:sz w:val="26"/>
          <w:szCs w:val="26"/>
        </w:rPr>
        <w:t>стиль цитирования литературы</w:t>
      </w:r>
      <w:r w:rsidRPr="00B21C12">
        <w:rPr>
          <w:color w:val="000000"/>
          <w:sz w:val="26"/>
          <w:szCs w:val="26"/>
        </w:rPr>
        <w:t xml:space="preserve"> в соответствии с Правилами ВАК Республики Беларусь – </w:t>
      </w:r>
      <w:r w:rsidR="00636746" w:rsidRPr="00636746">
        <w:rPr>
          <w:color w:val="000000"/>
          <w:sz w:val="26"/>
          <w:szCs w:val="26"/>
        </w:rPr>
        <w:t>http://www.vak.org.by/index.php/bibliographicDescription</w:t>
      </w:r>
      <w:r w:rsidRPr="00B21C12">
        <w:rPr>
          <w:color w:val="000000"/>
          <w:sz w:val="26"/>
          <w:szCs w:val="26"/>
        </w:rPr>
        <w:t>).</w:t>
      </w:r>
      <w:r w:rsidR="00636746">
        <w:rPr>
          <w:color w:val="000000"/>
          <w:sz w:val="26"/>
          <w:szCs w:val="26"/>
        </w:rPr>
        <w:t xml:space="preserve"> Для автоматизации офор</w:t>
      </w:r>
      <w:r w:rsidR="00636746">
        <w:rPr>
          <w:color w:val="000000"/>
          <w:sz w:val="26"/>
          <w:szCs w:val="26"/>
        </w:rPr>
        <w:t>м</w:t>
      </w:r>
      <w:r w:rsidR="00636746">
        <w:rPr>
          <w:color w:val="000000"/>
          <w:sz w:val="26"/>
          <w:szCs w:val="26"/>
        </w:rPr>
        <w:t xml:space="preserve">ления библиографических данных рекомендуем использовать программу </w:t>
      </w:r>
      <w:proofErr w:type="spellStart"/>
      <w:r w:rsidR="00636746">
        <w:rPr>
          <w:color w:val="000000"/>
          <w:sz w:val="26"/>
          <w:szCs w:val="26"/>
        </w:rPr>
        <w:t>Zotero</w:t>
      </w:r>
      <w:proofErr w:type="spellEnd"/>
      <w:r w:rsidR="00636746">
        <w:rPr>
          <w:color w:val="000000"/>
          <w:sz w:val="26"/>
          <w:szCs w:val="26"/>
        </w:rPr>
        <w:t xml:space="preserve"> и стиль цитирования VAK8 </w:t>
      </w:r>
      <w:r w:rsidR="00636746" w:rsidRPr="00636746">
        <w:rPr>
          <w:color w:val="000000"/>
          <w:sz w:val="26"/>
          <w:szCs w:val="26"/>
        </w:rPr>
        <w:t>(http://bio.bsu.by/temp/zotero/gost-r-7-0-5-2008-VAK8.csl).</w:t>
      </w:r>
    </w:p>
    <w:p w:rsidR="00936723" w:rsidRPr="00B21C12" w:rsidRDefault="00B852FC" w:rsidP="00B21C12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B21C12">
        <w:rPr>
          <w:color w:val="000000"/>
          <w:sz w:val="26"/>
          <w:szCs w:val="26"/>
        </w:rPr>
        <w:t xml:space="preserve">Вставка в текст </w:t>
      </w:r>
      <w:r w:rsidRPr="00B21C12">
        <w:rPr>
          <w:b/>
          <w:color w:val="000000"/>
          <w:sz w:val="26"/>
          <w:szCs w:val="26"/>
        </w:rPr>
        <w:t>символов</w:t>
      </w:r>
      <w:r w:rsidRPr="00B21C12">
        <w:rPr>
          <w:color w:val="000000"/>
          <w:sz w:val="26"/>
          <w:szCs w:val="26"/>
        </w:rPr>
        <w:t xml:space="preserve"> (например, β, </w:t>
      </w:r>
      <w:r w:rsidRPr="00B21C12">
        <w:rPr>
          <w:color w:val="000000"/>
          <w:sz w:val="26"/>
          <w:szCs w:val="26"/>
        </w:rPr>
        <w:sym w:font="Symbol" w:char="F0B4"/>
      </w:r>
      <w:r w:rsidRPr="00B21C12">
        <w:rPr>
          <w:color w:val="000000"/>
          <w:sz w:val="26"/>
          <w:szCs w:val="26"/>
        </w:rPr>
        <w:t xml:space="preserve">, </w:t>
      </w:r>
      <w:r w:rsidRPr="00B21C12">
        <w:rPr>
          <w:color w:val="000000"/>
          <w:sz w:val="26"/>
          <w:szCs w:val="26"/>
        </w:rPr>
        <w:sym w:font="Symbol" w:char="F0B1"/>
      </w:r>
      <w:r w:rsidR="000907B0" w:rsidRPr="00B21C12">
        <w:rPr>
          <w:color w:val="000000"/>
          <w:sz w:val="26"/>
          <w:szCs w:val="26"/>
        </w:rPr>
        <w:t>) производится</w:t>
      </w:r>
      <w:r w:rsidRPr="00B21C12">
        <w:rPr>
          <w:color w:val="000000"/>
          <w:sz w:val="26"/>
          <w:szCs w:val="26"/>
        </w:rPr>
        <w:t xml:space="preserve"> через опцию </w:t>
      </w:r>
      <w:r w:rsidR="00936723" w:rsidRPr="00B21C12">
        <w:rPr>
          <w:color w:val="000000"/>
          <w:sz w:val="26"/>
          <w:szCs w:val="26"/>
        </w:rPr>
        <w:t>«</w:t>
      </w:r>
      <w:r w:rsidRPr="00B21C12">
        <w:rPr>
          <w:color w:val="000000"/>
          <w:sz w:val="26"/>
          <w:szCs w:val="26"/>
        </w:rPr>
        <w:t xml:space="preserve">Вставка </w:t>
      </w:r>
      <w:r w:rsidRPr="00B21C12">
        <w:rPr>
          <w:color w:val="000000"/>
          <w:sz w:val="26"/>
          <w:szCs w:val="26"/>
        </w:rPr>
        <w:sym w:font="Symbol" w:char="F0AE"/>
      </w:r>
      <w:r w:rsidRPr="00B21C12">
        <w:rPr>
          <w:color w:val="000000"/>
          <w:sz w:val="26"/>
          <w:szCs w:val="26"/>
        </w:rPr>
        <w:t xml:space="preserve"> Символ</w:t>
      </w:r>
      <w:r w:rsidR="00936723" w:rsidRPr="00B21C12">
        <w:rPr>
          <w:color w:val="000000"/>
          <w:sz w:val="26"/>
          <w:szCs w:val="26"/>
        </w:rPr>
        <w:t>» текстового редактора</w:t>
      </w:r>
      <w:r w:rsidRPr="00B21C12">
        <w:rPr>
          <w:color w:val="000000"/>
          <w:sz w:val="26"/>
          <w:szCs w:val="26"/>
        </w:rPr>
        <w:t>.</w:t>
      </w:r>
      <w:r w:rsidR="00B21C12">
        <w:rPr>
          <w:color w:val="000000"/>
          <w:sz w:val="26"/>
          <w:szCs w:val="26"/>
        </w:rPr>
        <w:t xml:space="preserve"> </w:t>
      </w:r>
      <w:r w:rsidR="00936723" w:rsidRPr="00B21C12">
        <w:rPr>
          <w:b/>
          <w:bCs/>
          <w:color w:val="000000"/>
          <w:sz w:val="26"/>
          <w:szCs w:val="26"/>
        </w:rPr>
        <w:t>Латинские названия и термины</w:t>
      </w:r>
      <w:r w:rsidR="00936723" w:rsidRPr="00B21C12">
        <w:rPr>
          <w:color w:val="000000"/>
          <w:sz w:val="26"/>
          <w:szCs w:val="26"/>
        </w:rPr>
        <w:t xml:space="preserve"> выд</w:t>
      </w:r>
      <w:r w:rsidR="00936723" w:rsidRPr="00B21C12">
        <w:rPr>
          <w:color w:val="000000"/>
          <w:sz w:val="26"/>
          <w:szCs w:val="26"/>
        </w:rPr>
        <w:t>е</w:t>
      </w:r>
      <w:r w:rsidR="00936723" w:rsidRPr="00B21C12">
        <w:rPr>
          <w:color w:val="000000"/>
          <w:sz w:val="26"/>
          <w:szCs w:val="26"/>
        </w:rPr>
        <w:t xml:space="preserve">ляются курсивом (например, </w:t>
      </w:r>
      <w:proofErr w:type="spellStart"/>
      <w:r w:rsidR="00936723" w:rsidRPr="00B21C12">
        <w:rPr>
          <w:i/>
          <w:iCs/>
          <w:color w:val="000000"/>
          <w:sz w:val="26"/>
          <w:szCs w:val="26"/>
          <w:lang w:val="en-US"/>
        </w:rPr>
        <w:t>Aspergillus</w:t>
      </w:r>
      <w:proofErr w:type="spellEnd"/>
      <w:r w:rsidR="00936723" w:rsidRPr="00B21C12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="00936723" w:rsidRPr="00B21C12">
        <w:rPr>
          <w:i/>
          <w:iCs/>
          <w:color w:val="000000"/>
          <w:sz w:val="26"/>
          <w:szCs w:val="26"/>
          <w:lang w:val="en-US"/>
        </w:rPr>
        <w:t>niger</w:t>
      </w:r>
      <w:proofErr w:type="spellEnd"/>
      <w:r w:rsidR="00936723" w:rsidRPr="00B21C12">
        <w:rPr>
          <w:color w:val="000000"/>
          <w:sz w:val="26"/>
          <w:szCs w:val="26"/>
        </w:rPr>
        <w:t xml:space="preserve"> ВКМ </w:t>
      </w:r>
      <w:r w:rsidR="00936723" w:rsidRPr="00B21C12">
        <w:rPr>
          <w:color w:val="000000"/>
          <w:sz w:val="26"/>
          <w:szCs w:val="26"/>
          <w:lang w:val="en-US"/>
        </w:rPr>
        <w:t>F</w:t>
      </w:r>
      <w:r w:rsidR="00936723" w:rsidRPr="00B21C12">
        <w:rPr>
          <w:color w:val="000000"/>
          <w:sz w:val="26"/>
          <w:szCs w:val="26"/>
        </w:rPr>
        <w:t xml:space="preserve">-65; исследования </w:t>
      </w:r>
      <w:r w:rsidR="00936723" w:rsidRPr="00B21C12">
        <w:rPr>
          <w:i/>
          <w:color w:val="000000"/>
          <w:sz w:val="26"/>
          <w:szCs w:val="26"/>
          <w:lang w:val="en-US"/>
        </w:rPr>
        <w:t>in</w:t>
      </w:r>
      <w:r w:rsidR="00936723" w:rsidRPr="00B21C12">
        <w:rPr>
          <w:i/>
          <w:color w:val="000000"/>
          <w:sz w:val="26"/>
          <w:szCs w:val="26"/>
        </w:rPr>
        <w:t xml:space="preserve"> </w:t>
      </w:r>
      <w:r w:rsidR="00936723" w:rsidRPr="00B21C12">
        <w:rPr>
          <w:i/>
          <w:color w:val="000000"/>
          <w:sz w:val="26"/>
          <w:szCs w:val="26"/>
          <w:lang w:val="en-US"/>
        </w:rPr>
        <w:t>vitro</w:t>
      </w:r>
      <w:r w:rsidR="00936723" w:rsidRPr="00B21C12">
        <w:rPr>
          <w:color w:val="000000"/>
          <w:sz w:val="26"/>
          <w:szCs w:val="26"/>
        </w:rPr>
        <w:t>).</w:t>
      </w:r>
    </w:p>
    <w:p w:rsidR="00111DBD" w:rsidRPr="00B21C12" w:rsidRDefault="00111DBD" w:rsidP="004C4C30">
      <w:pPr>
        <w:ind w:firstLine="567"/>
        <w:jc w:val="both"/>
        <w:rPr>
          <w:sz w:val="26"/>
          <w:szCs w:val="26"/>
        </w:rPr>
      </w:pPr>
      <w:r w:rsidRPr="00B21C12">
        <w:rPr>
          <w:sz w:val="26"/>
          <w:szCs w:val="26"/>
        </w:rPr>
        <w:t>Авторы опубликованных материалов несут ответственность за достоверность приведенных сведений, соблюдение авторских прав, точность данных по цитиру</w:t>
      </w:r>
      <w:r w:rsidRPr="00B21C12">
        <w:rPr>
          <w:sz w:val="26"/>
          <w:szCs w:val="26"/>
        </w:rPr>
        <w:t>е</w:t>
      </w:r>
      <w:r w:rsidRPr="00B21C12">
        <w:rPr>
          <w:sz w:val="26"/>
          <w:szCs w:val="26"/>
        </w:rPr>
        <w:t>мой литературе и наличие данных, не подлежащих открытой публикации.</w:t>
      </w:r>
    </w:p>
    <w:p w:rsidR="00C609C9" w:rsidRPr="00B21C12" w:rsidRDefault="0008145F" w:rsidP="00E117D6">
      <w:pPr>
        <w:ind w:firstLine="567"/>
        <w:jc w:val="both"/>
        <w:rPr>
          <w:sz w:val="26"/>
          <w:szCs w:val="26"/>
        </w:rPr>
      </w:pPr>
      <w:r w:rsidRPr="00B21C12">
        <w:rPr>
          <w:sz w:val="26"/>
          <w:szCs w:val="26"/>
        </w:rPr>
        <w:t xml:space="preserve">Оргкомитет оставляет за собой право не рассматривать тезисы, </w:t>
      </w:r>
      <w:r w:rsidR="00521DE2" w:rsidRPr="00B21C12">
        <w:rPr>
          <w:sz w:val="26"/>
          <w:szCs w:val="26"/>
        </w:rPr>
        <w:t xml:space="preserve">присланные позже установленного срока, </w:t>
      </w:r>
      <w:r w:rsidRPr="00B21C12">
        <w:rPr>
          <w:sz w:val="26"/>
          <w:szCs w:val="26"/>
        </w:rPr>
        <w:t>не соответствующие тематике конференции</w:t>
      </w:r>
      <w:r w:rsidR="00521DE2" w:rsidRPr="00B21C12">
        <w:rPr>
          <w:sz w:val="26"/>
          <w:szCs w:val="26"/>
        </w:rPr>
        <w:t xml:space="preserve"> или</w:t>
      </w:r>
      <w:r w:rsidRPr="00B21C12">
        <w:rPr>
          <w:sz w:val="26"/>
          <w:szCs w:val="26"/>
        </w:rPr>
        <w:t xml:space="preserve"> треб</w:t>
      </w:r>
      <w:r w:rsidRPr="00B21C12">
        <w:rPr>
          <w:sz w:val="26"/>
          <w:szCs w:val="26"/>
        </w:rPr>
        <w:t>о</w:t>
      </w:r>
      <w:r w:rsidRPr="00B21C12">
        <w:rPr>
          <w:sz w:val="26"/>
          <w:szCs w:val="26"/>
        </w:rPr>
        <w:t>ваниям оформления</w:t>
      </w:r>
      <w:r w:rsidR="00521DE2" w:rsidRPr="00B21C12">
        <w:rPr>
          <w:sz w:val="26"/>
          <w:szCs w:val="26"/>
        </w:rPr>
        <w:t>,</w:t>
      </w:r>
      <w:r w:rsidRPr="00B21C12">
        <w:rPr>
          <w:sz w:val="26"/>
          <w:szCs w:val="26"/>
        </w:rPr>
        <w:t xml:space="preserve"> </w:t>
      </w:r>
      <w:r w:rsidR="00521DE2" w:rsidRPr="00B21C12">
        <w:rPr>
          <w:sz w:val="26"/>
          <w:szCs w:val="26"/>
        </w:rPr>
        <w:t xml:space="preserve">а также право редактирования </w:t>
      </w:r>
      <w:r w:rsidR="00AA2309" w:rsidRPr="00B21C12">
        <w:rPr>
          <w:sz w:val="26"/>
          <w:szCs w:val="26"/>
        </w:rPr>
        <w:t>материалов</w:t>
      </w:r>
      <w:r w:rsidR="00521DE2" w:rsidRPr="00B21C12">
        <w:rPr>
          <w:sz w:val="26"/>
          <w:szCs w:val="26"/>
        </w:rPr>
        <w:t xml:space="preserve">, </w:t>
      </w:r>
      <w:r w:rsidR="009F068C">
        <w:rPr>
          <w:sz w:val="26"/>
          <w:szCs w:val="26"/>
        </w:rPr>
        <w:t>не затрагивая</w:t>
      </w:r>
      <w:r w:rsidR="00F02069" w:rsidRPr="00B21C12">
        <w:rPr>
          <w:sz w:val="26"/>
          <w:szCs w:val="26"/>
        </w:rPr>
        <w:t xml:space="preserve"> </w:t>
      </w:r>
      <w:r w:rsidR="00B21C12">
        <w:rPr>
          <w:sz w:val="26"/>
          <w:szCs w:val="26"/>
        </w:rPr>
        <w:t>смы</w:t>
      </w:r>
      <w:r w:rsidR="00B21C12">
        <w:rPr>
          <w:sz w:val="26"/>
          <w:szCs w:val="26"/>
        </w:rPr>
        <w:t>с</w:t>
      </w:r>
      <w:r w:rsidR="00B21C12">
        <w:rPr>
          <w:sz w:val="26"/>
          <w:szCs w:val="26"/>
        </w:rPr>
        <w:t xml:space="preserve">ловое </w:t>
      </w:r>
      <w:r w:rsidR="00F02069" w:rsidRPr="00B21C12">
        <w:rPr>
          <w:sz w:val="26"/>
          <w:szCs w:val="26"/>
        </w:rPr>
        <w:t>содержание.</w:t>
      </w:r>
    </w:p>
    <w:p w:rsidR="00A90B67" w:rsidRPr="00B21C12" w:rsidRDefault="007A4818" w:rsidP="00B21C12">
      <w:pPr>
        <w:shd w:val="clear" w:color="auto" w:fill="FFFFFF"/>
        <w:ind w:left="11" w:right="6" w:firstLine="556"/>
        <w:jc w:val="both"/>
        <w:rPr>
          <w:bCs/>
          <w:sz w:val="26"/>
          <w:szCs w:val="26"/>
        </w:rPr>
      </w:pPr>
      <w:r w:rsidRPr="00B21C12">
        <w:rPr>
          <w:rStyle w:val="a3"/>
          <w:b w:val="0"/>
          <w:sz w:val="26"/>
          <w:szCs w:val="26"/>
        </w:rPr>
        <w:t>Отправив тезисы, обязательно дождитесь подтверждения получения ваших м</w:t>
      </w:r>
      <w:r w:rsidRPr="00B21C12">
        <w:rPr>
          <w:rStyle w:val="a3"/>
          <w:b w:val="0"/>
          <w:sz w:val="26"/>
          <w:szCs w:val="26"/>
        </w:rPr>
        <w:t>а</w:t>
      </w:r>
      <w:r w:rsidRPr="00B21C12">
        <w:rPr>
          <w:rStyle w:val="a3"/>
          <w:b w:val="0"/>
          <w:sz w:val="26"/>
          <w:szCs w:val="26"/>
        </w:rPr>
        <w:t xml:space="preserve">териалов </w:t>
      </w:r>
      <w:r w:rsidR="00F02069" w:rsidRPr="00B21C12">
        <w:rPr>
          <w:rStyle w:val="a3"/>
          <w:b w:val="0"/>
          <w:sz w:val="26"/>
          <w:szCs w:val="26"/>
        </w:rPr>
        <w:t>О</w:t>
      </w:r>
      <w:r w:rsidRPr="00B21C12">
        <w:rPr>
          <w:rStyle w:val="a3"/>
          <w:b w:val="0"/>
          <w:sz w:val="26"/>
          <w:szCs w:val="26"/>
        </w:rPr>
        <w:t>ргкомитетом. В случае отсутствия подтверждения</w:t>
      </w:r>
      <w:r w:rsidR="00792E8D">
        <w:rPr>
          <w:rStyle w:val="a3"/>
          <w:b w:val="0"/>
          <w:sz w:val="26"/>
          <w:szCs w:val="26"/>
        </w:rPr>
        <w:t>,</w:t>
      </w:r>
      <w:r w:rsidRPr="00B21C12">
        <w:rPr>
          <w:rStyle w:val="a3"/>
          <w:b w:val="0"/>
          <w:sz w:val="26"/>
          <w:szCs w:val="26"/>
        </w:rPr>
        <w:t xml:space="preserve"> </w:t>
      </w:r>
      <w:r w:rsidR="00F02069" w:rsidRPr="00B21C12">
        <w:rPr>
          <w:rStyle w:val="a3"/>
          <w:b w:val="0"/>
          <w:sz w:val="26"/>
          <w:szCs w:val="26"/>
        </w:rPr>
        <w:t>свяжитесь с О</w:t>
      </w:r>
      <w:r w:rsidRPr="00B21C12">
        <w:rPr>
          <w:rStyle w:val="a3"/>
          <w:b w:val="0"/>
          <w:sz w:val="26"/>
          <w:szCs w:val="26"/>
        </w:rPr>
        <w:t>ргком</w:t>
      </w:r>
      <w:r w:rsidRPr="00B21C12">
        <w:rPr>
          <w:rStyle w:val="a3"/>
          <w:b w:val="0"/>
          <w:sz w:val="26"/>
          <w:szCs w:val="26"/>
        </w:rPr>
        <w:t>и</w:t>
      </w:r>
      <w:r w:rsidRPr="00B21C12">
        <w:rPr>
          <w:rStyle w:val="a3"/>
          <w:b w:val="0"/>
          <w:sz w:val="26"/>
          <w:szCs w:val="26"/>
        </w:rPr>
        <w:t>тетом по электронной почте</w:t>
      </w:r>
      <w:r w:rsidR="009F068C">
        <w:rPr>
          <w:rStyle w:val="a3"/>
          <w:b w:val="0"/>
          <w:sz w:val="26"/>
          <w:szCs w:val="26"/>
        </w:rPr>
        <w:t xml:space="preserve"> </w:t>
      </w:r>
      <w:r w:rsidR="009F068C" w:rsidRPr="009F068C">
        <w:rPr>
          <w:rStyle w:val="a3"/>
          <w:b w:val="0"/>
          <w:sz w:val="26"/>
          <w:szCs w:val="26"/>
        </w:rPr>
        <w:t>(</w:t>
      </w:r>
      <w:r w:rsidR="009F068C">
        <w:rPr>
          <w:rStyle w:val="a3"/>
          <w:b w:val="0"/>
          <w:sz w:val="26"/>
          <w:szCs w:val="26"/>
          <w:lang w:val="en-US"/>
        </w:rPr>
        <w:t>conference</w:t>
      </w:r>
      <w:r w:rsidR="009F068C" w:rsidRPr="009F068C">
        <w:rPr>
          <w:rStyle w:val="a3"/>
          <w:b w:val="0"/>
          <w:sz w:val="26"/>
          <w:szCs w:val="26"/>
        </w:rPr>
        <w:t>@</w:t>
      </w:r>
      <w:proofErr w:type="spellStart"/>
      <w:r w:rsidR="009F068C">
        <w:rPr>
          <w:rStyle w:val="a3"/>
          <w:b w:val="0"/>
          <w:sz w:val="26"/>
          <w:szCs w:val="26"/>
          <w:lang w:val="en-US"/>
        </w:rPr>
        <w:t>mbio</w:t>
      </w:r>
      <w:proofErr w:type="spellEnd"/>
      <w:r w:rsidR="009F068C" w:rsidRPr="009F068C">
        <w:rPr>
          <w:rStyle w:val="a3"/>
          <w:b w:val="0"/>
          <w:sz w:val="26"/>
          <w:szCs w:val="26"/>
        </w:rPr>
        <w:t>.</w:t>
      </w:r>
      <w:r w:rsidR="009F068C">
        <w:rPr>
          <w:rStyle w:val="a3"/>
          <w:b w:val="0"/>
          <w:sz w:val="26"/>
          <w:szCs w:val="26"/>
          <w:lang w:val="en-US"/>
        </w:rPr>
        <w:t>bas</w:t>
      </w:r>
      <w:r w:rsidR="009F068C" w:rsidRPr="009F068C">
        <w:rPr>
          <w:rStyle w:val="a3"/>
          <w:b w:val="0"/>
          <w:sz w:val="26"/>
          <w:szCs w:val="26"/>
        </w:rPr>
        <w:t>-</w:t>
      </w:r>
      <w:r w:rsidR="009F068C">
        <w:rPr>
          <w:rStyle w:val="a3"/>
          <w:b w:val="0"/>
          <w:sz w:val="26"/>
          <w:szCs w:val="26"/>
          <w:lang w:val="en-US"/>
        </w:rPr>
        <w:t>net</w:t>
      </w:r>
      <w:r w:rsidR="009F068C" w:rsidRPr="009F068C">
        <w:rPr>
          <w:rStyle w:val="a3"/>
          <w:b w:val="0"/>
          <w:sz w:val="26"/>
          <w:szCs w:val="26"/>
        </w:rPr>
        <w:t>.</w:t>
      </w:r>
      <w:r w:rsidR="009F068C">
        <w:rPr>
          <w:rStyle w:val="a3"/>
          <w:b w:val="0"/>
          <w:sz w:val="26"/>
          <w:szCs w:val="26"/>
          <w:lang w:val="en-US"/>
        </w:rPr>
        <w:t>by</w:t>
      </w:r>
      <w:r w:rsidR="009F068C" w:rsidRPr="009F068C">
        <w:rPr>
          <w:rStyle w:val="a3"/>
          <w:b w:val="0"/>
          <w:sz w:val="26"/>
          <w:szCs w:val="26"/>
        </w:rPr>
        <w:t>)</w:t>
      </w:r>
      <w:r w:rsidRPr="00B21C12">
        <w:rPr>
          <w:rStyle w:val="a3"/>
          <w:b w:val="0"/>
          <w:sz w:val="26"/>
          <w:szCs w:val="26"/>
        </w:rPr>
        <w:t>.</w:t>
      </w:r>
    </w:p>
    <w:p w:rsidR="0029759B" w:rsidRDefault="00595C34" w:rsidP="00D63DCF">
      <w:pPr>
        <w:shd w:val="clear" w:color="auto" w:fill="FFFFFF"/>
        <w:jc w:val="both"/>
        <w:rPr>
          <w:b/>
          <w:i/>
          <w:color w:val="000000"/>
          <w:szCs w:val="24"/>
        </w:rPr>
      </w:pPr>
      <w:r>
        <w:rPr>
          <w:b/>
          <w:i/>
          <w:color w:val="000000"/>
          <w:szCs w:val="24"/>
        </w:rPr>
        <w:br w:type="page"/>
      </w:r>
      <w:r w:rsidR="00B852FC" w:rsidRPr="003A1866">
        <w:rPr>
          <w:b/>
          <w:i/>
          <w:color w:val="000000"/>
          <w:szCs w:val="24"/>
        </w:rPr>
        <w:lastRenderedPageBreak/>
        <w:t xml:space="preserve">Пример оформления </w:t>
      </w:r>
      <w:r w:rsidR="00782C30" w:rsidRPr="003A1866">
        <w:rPr>
          <w:b/>
          <w:i/>
          <w:color w:val="000000"/>
          <w:szCs w:val="24"/>
        </w:rPr>
        <w:t>тезисов доклада</w:t>
      </w:r>
    </w:p>
    <w:p w:rsidR="00670E55" w:rsidRPr="00670E55" w:rsidRDefault="00670E55" w:rsidP="00D63DCF">
      <w:pPr>
        <w:shd w:val="clear" w:color="auto" w:fill="FFFFFF"/>
        <w:jc w:val="both"/>
        <w:rPr>
          <w:color w:val="000000"/>
          <w:szCs w:val="24"/>
        </w:rPr>
      </w:pPr>
    </w:p>
    <w:p w:rsidR="00670E55" w:rsidRPr="009D73C3" w:rsidRDefault="00670E55" w:rsidP="00670E55">
      <w:pPr>
        <w:pStyle w:val="3"/>
        <w:jc w:val="left"/>
        <w:rPr>
          <w:b w:val="0"/>
          <w:sz w:val="28"/>
          <w:szCs w:val="28"/>
        </w:rPr>
      </w:pPr>
      <w:bookmarkStart w:id="1" w:name="_Toc429642263"/>
      <w:r w:rsidRPr="00670E55">
        <w:rPr>
          <w:sz w:val="34"/>
          <w:szCs w:val="34"/>
        </w:rPr>
        <w:t xml:space="preserve">Молекулярно-генетический анализ детерминант, кодирующих синтез антимикробных метаболитов у бактерий рода </w:t>
      </w:r>
      <w:proofErr w:type="spellStart"/>
      <w:r w:rsidRPr="00670E55">
        <w:rPr>
          <w:i/>
          <w:sz w:val="34"/>
          <w:szCs w:val="34"/>
        </w:rPr>
        <w:t>Bacillus</w:t>
      </w:r>
      <w:proofErr w:type="spellEnd"/>
      <w:r w:rsidRPr="00670E55">
        <w:rPr>
          <w:i/>
          <w:sz w:val="34"/>
          <w:szCs w:val="34"/>
        </w:rPr>
        <w:br/>
      </w:r>
    </w:p>
    <w:p w:rsidR="00670E55" w:rsidRPr="00670E55" w:rsidRDefault="00670E55" w:rsidP="00670E55">
      <w:pPr>
        <w:rPr>
          <w:b/>
        </w:rPr>
      </w:pPr>
      <w:r w:rsidRPr="00670E55">
        <w:rPr>
          <w:b/>
        </w:rPr>
        <w:t>Береж</w:t>
      </w:r>
      <w:r w:rsidR="00636746">
        <w:rPr>
          <w:b/>
        </w:rPr>
        <w:t>ливый</w:t>
      </w:r>
      <w:r w:rsidRPr="00670E55">
        <w:rPr>
          <w:b/>
        </w:rPr>
        <w:t> </w:t>
      </w:r>
      <w:r w:rsidR="00636746">
        <w:rPr>
          <w:b/>
        </w:rPr>
        <w:t>А</w:t>
      </w:r>
      <w:r w:rsidRPr="00670E55">
        <w:rPr>
          <w:b/>
        </w:rPr>
        <w:t>.В.</w:t>
      </w:r>
      <w:r w:rsidRPr="00670E55">
        <w:rPr>
          <w:b/>
          <w:vertAlign w:val="superscript"/>
        </w:rPr>
        <w:t>1</w:t>
      </w:r>
      <w:r w:rsidRPr="00670E55">
        <w:rPr>
          <w:b/>
        </w:rPr>
        <w:t>, Торопливый </w:t>
      </w:r>
      <w:r w:rsidR="00636746">
        <w:rPr>
          <w:b/>
        </w:rPr>
        <w:t>Н</w:t>
      </w:r>
      <w:r w:rsidRPr="00670E55">
        <w:rPr>
          <w:b/>
        </w:rPr>
        <w:t>.А.</w:t>
      </w:r>
      <w:r w:rsidR="00462235" w:rsidRPr="00462235">
        <w:rPr>
          <w:b/>
          <w:vertAlign w:val="superscript"/>
        </w:rPr>
        <w:t>1,</w:t>
      </w:r>
      <w:r w:rsidRPr="00670E55">
        <w:rPr>
          <w:b/>
          <w:vertAlign w:val="superscript"/>
        </w:rPr>
        <w:t>2</w:t>
      </w:r>
      <w:r w:rsidRPr="00670E55">
        <w:rPr>
          <w:b/>
        </w:rPr>
        <w:t>, Мудрый С.И.</w:t>
      </w:r>
      <w:bookmarkEnd w:id="1"/>
      <w:r w:rsidR="00462235">
        <w:rPr>
          <w:b/>
          <w:vertAlign w:val="superscript"/>
        </w:rPr>
        <w:t>2</w:t>
      </w:r>
    </w:p>
    <w:p w:rsidR="00670E55" w:rsidRPr="00670E55" w:rsidRDefault="00670E55" w:rsidP="009D73C3">
      <w:pPr>
        <w:spacing w:before="120"/>
        <w:rPr>
          <w:i/>
          <w:sz w:val="26"/>
          <w:szCs w:val="26"/>
        </w:rPr>
      </w:pPr>
      <w:r w:rsidRPr="00670E55">
        <w:rPr>
          <w:i/>
          <w:sz w:val="26"/>
          <w:szCs w:val="26"/>
          <w:vertAlign w:val="superscript"/>
        </w:rPr>
        <w:t>1</w:t>
      </w:r>
      <w:r w:rsidRPr="00670E55">
        <w:rPr>
          <w:i/>
          <w:sz w:val="26"/>
          <w:szCs w:val="26"/>
        </w:rPr>
        <w:t xml:space="preserve">Институт </w:t>
      </w:r>
      <w:proofErr w:type="spellStart"/>
      <w:r w:rsidR="00636746" w:rsidRPr="00636746">
        <w:rPr>
          <w:i/>
          <w:sz w:val="26"/>
          <w:szCs w:val="26"/>
        </w:rPr>
        <w:t>нан</w:t>
      </w:r>
      <w:r w:rsidRPr="00670E55">
        <w:rPr>
          <w:i/>
          <w:sz w:val="26"/>
          <w:szCs w:val="26"/>
        </w:rPr>
        <w:t>обиологии</w:t>
      </w:r>
      <w:proofErr w:type="spellEnd"/>
      <w:r w:rsidRPr="00670E55">
        <w:rPr>
          <w:i/>
          <w:sz w:val="26"/>
          <w:szCs w:val="26"/>
        </w:rPr>
        <w:t xml:space="preserve"> НАН Беларуси, Минск, Беларусь,</w:t>
      </w:r>
      <w:r w:rsidR="009D73C3">
        <w:rPr>
          <w:i/>
          <w:sz w:val="26"/>
          <w:szCs w:val="26"/>
        </w:rPr>
        <w:br/>
      </w:r>
      <w:r w:rsidR="00462235">
        <w:rPr>
          <w:i/>
          <w:sz w:val="26"/>
          <w:szCs w:val="26"/>
        </w:rPr>
        <w:t>э</w:t>
      </w:r>
      <w:r w:rsidR="00462235" w:rsidRPr="00462235">
        <w:rPr>
          <w:i/>
          <w:sz w:val="26"/>
          <w:szCs w:val="26"/>
        </w:rPr>
        <w:t>лектронный адрес</w:t>
      </w:r>
      <w:r w:rsidRPr="00670E55">
        <w:rPr>
          <w:i/>
          <w:sz w:val="26"/>
          <w:szCs w:val="26"/>
        </w:rPr>
        <w:t>:</w:t>
      </w:r>
      <w:r w:rsidR="00462235">
        <w:rPr>
          <w:i/>
          <w:sz w:val="26"/>
          <w:szCs w:val="26"/>
        </w:rPr>
        <w:t xml:space="preserve"> </w:t>
      </w:r>
      <w:r w:rsidR="00462235">
        <w:rPr>
          <w:i/>
          <w:sz w:val="26"/>
          <w:szCs w:val="26"/>
          <w:lang w:val="en-US"/>
        </w:rPr>
        <w:t>name</w:t>
      </w:r>
      <w:r w:rsidRPr="00670E55">
        <w:rPr>
          <w:i/>
          <w:sz w:val="26"/>
          <w:szCs w:val="26"/>
        </w:rPr>
        <w:t>@</w:t>
      </w:r>
      <w:r w:rsidR="00636746">
        <w:rPr>
          <w:i/>
          <w:sz w:val="26"/>
          <w:szCs w:val="26"/>
          <w:lang w:val="en-US"/>
        </w:rPr>
        <w:t>e</w:t>
      </w:r>
      <w:r w:rsidR="00462235">
        <w:rPr>
          <w:i/>
          <w:sz w:val="26"/>
          <w:szCs w:val="26"/>
          <w:lang w:val="en-US"/>
        </w:rPr>
        <w:t>mail</w:t>
      </w:r>
      <w:r w:rsidRPr="00670E55">
        <w:rPr>
          <w:i/>
          <w:sz w:val="26"/>
          <w:szCs w:val="26"/>
        </w:rPr>
        <w:t>.</w:t>
      </w:r>
      <w:proofErr w:type="spellStart"/>
      <w:r w:rsidR="00636746">
        <w:rPr>
          <w:i/>
          <w:sz w:val="26"/>
          <w:szCs w:val="26"/>
          <w:lang w:val="en-US"/>
        </w:rPr>
        <w:t>su</w:t>
      </w:r>
      <w:proofErr w:type="spellEnd"/>
    </w:p>
    <w:p w:rsidR="00CC0245" w:rsidRPr="00CC0245" w:rsidRDefault="00670E55" w:rsidP="009D73C3">
      <w:pPr>
        <w:autoSpaceDE w:val="0"/>
        <w:autoSpaceDN w:val="0"/>
        <w:adjustRightInd w:val="0"/>
        <w:spacing w:before="120"/>
        <w:rPr>
          <w:i/>
          <w:sz w:val="26"/>
          <w:szCs w:val="26"/>
        </w:rPr>
      </w:pPr>
      <w:r w:rsidRPr="00670E55">
        <w:rPr>
          <w:i/>
          <w:sz w:val="26"/>
          <w:szCs w:val="26"/>
          <w:vertAlign w:val="superscript"/>
        </w:rPr>
        <w:t>2</w:t>
      </w:r>
      <w:r w:rsidRPr="00670E55">
        <w:rPr>
          <w:i/>
          <w:iCs/>
          <w:sz w:val="26"/>
          <w:szCs w:val="26"/>
        </w:rPr>
        <w:t xml:space="preserve">Химический факультет, Московский государственный университет им. М.В.Ломоносова, Москва, </w:t>
      </w:r>
      <w:r w:rsidRPr="00670E55">
        <w:rPr>
          <w:i/>
          <w:sz w:val="26"/>
          <w:szCs w:val="26"/>
        </w:rPr>
        <w:t>Россия</w:t>
      </w:r>
    </w:p>
    <w:p w:rsidR="00670E55" w:rsidRPr="009A5F23" w:rsidRDefault="00670E55" w:rsidP="00670E55">
      <w:pPr>
        <w:autoSpaceDE w:val="0"/>
        <w:autoSpaceDN w:val="0"/>
        <w:adjustRightInd w:val="0"/>
        <w:ind w:firstLine="567"/>
        <w:contextualSpacing/>
        <w:jc w:val="both"/>
      </w:pPr>
    </w:p>
    <w:p w:rsidR="009D73C3" w:rsidRPr="009D73C3" w:rsidRDefault="00670E55" w:rsidP="00670E55">
      <w:pPr>
        <w:autoSpaceDE w:val="0"/>
        <w:autoSpaceDN w:val="0"/>
        <w:adjustRightInd w:val="0"/>
        <w:spacing w:line="360" w:lineRule="exact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Бактерии рода </w:t>
      </w:r>
      <w:proofErr w:type="spellStart"/>
      <w:r w:rsidRPr="006F661E">
        <w:rPr>
          <w:i/>
          <w:szCs w:val="28"/>
        </w:rPr>
        <w:t>Bacillus</w:t>
      </w:r>
      <w:proofErr w:type="spellEnd"/>
      <w:r w:rsidRPr="006F661E">
        <w:rPr>
          <w:szCs w:val="28"/>
        </w:rPr>
        <w:t xml:space="preserve"> являются продуцентами широкого спектра </w:t>
      </w:r>
      <w:r>
        <w:rPr>
          <w:szCs w:val="28"/>
        </w:rPr>
        <w:t>биол</w:t>
      </w:r>
      <w:r>
        <w:rPr>
          <w:szCs w:val="28"/>
        </w:rPr>
        <w:t>о</w:t>
      </w:r>
      <w:r>
        <w:rPr>
          <w:szCs w:val="28"/>
        </w:rPr>
        <w:t xml:space="preserve">гически </w:t>
      </w:r>
      <w:r w:rsidRPr="006F661E">
        <w:rPr>
          <w:szCs w:val="28"/>
        </w:rPr>
        <w:t xml:space="preserve">активных </w:t>
      </w:r>
      <w:r>
        <w:rPr>
          <w:szCs w:val="28"/>
        </w:rPr>
        <w:t>соединений</w:t>
      </w:r>
      <w:r w:rsidRPr="006F661E">
        <w:rPr>
          <w:szCs w:val="28"/>
        </w:rPr>
        <w:t xml:space="preserve">, в том числе антибиотиков, </w:t>
      </w:r>
      <w:r w:rsidR="009D73C3">
        <w:rPr>
          <w:szCs w:val="28"/>
        </w:rPr>
        <w:t>поверхностно-активных веществ</w:t>
      </w:r>
      <w:r w:rsidRPr="006F661E">
        <w:rPr>
          <w:szCs w:val="28"/>
        </w:rPr>
        <w:t>, ферментов</w:t>
      </w:r>
      <w:r>
        <w:rPr>
          <w:szCs w:val="28"/>
        </w:rPr>
        <w:t xml:space="preserve"> и др., что и определяет их широкое использов</w:t>
      </w:r>
      <w:r>
        <w:rPr>
          <w:szCs w:val="28"/>
        </w:rPr>
        <w:t>а</w:t>
      </w:r>
      <w:r>
        <w:rPr>
          <w:szCs w:val="28"/>
        </w:rPr>
        <w:t>ние в качестве основы для биологических средств защиты растений</w:t>
      </w:r>
      <w:r w:rsidR="009D73C3">
        <w:rPr>
          <w:szCs w:val="28"/>
        </w:rPr>
        <w:t xml:space="preserve"> [</w:t>
      </w:r>
      <w:r w:rsidR="009D73C3" w:rsidRPr="009D73C3">
        <w:rPr>
          <w:szCs w:val="28"/>
        </w:rPr>
        <w:t>1</w:t>
      </w:r>
      <w:r w:rsidR="009D73C3">
        <w:rPr>
          <w:szCs w:val="28"/>
        </w:rPr>
        <w:t>]</w:t>
      </w:r>
      <w:r>
        <w:rPr>
          <w:szCs w:val="28"/>
        </w:rPr>
        <w:t>.</w:t>
      </w:r>
      <w:r w:rsidRPr="006F661E">
        <w:rPr>
          <w:szCs w:val="28"/>
        </w:rPr>
        <w:t xml:space="preserve"> Наиболее известными метаболитами, </w:t>
      </w:r>
      <w:r w:rsidR="00BF2D4E">
        <w:rPr>
          <w:szCs w:val="28"/>
        </w:rPr>
        <w:t>обеспечивающими</w:t>
      </w:r>
      <w:r w:rsidRPr="006F661E">
        <w:rPr>
          <w:szCs w:val="28"/>
        </w:rPr>
        <w:t xml:space="preserve"> антагонистическ</w:t>
      </w:r>
      <w:r w:rsidR="009F068C">
        <w:rPr>
          <w:szCs w:val="28"/>
        </w:rPr>
        <w:t xml:space="preserve">ую </w:t>
      </w:r>
      <w:r w:rsidRPr="006F661E">
        <w:rPr>
          <w:szCs w:val="28"/>
        </w:rPr>
        <w:t>активност</w:t>
      </w:r>
      <w:r w:rsidR="009F068C">
        <w:rPr>
          <w:szCs w:val="28"/>
        </w:rPr>
        <w:t>ь</w:t>
      </w:r>
      <w:r w:rsidRPr="006F661E">
        <w:rPr>
          <w:szCs w:val="28"/>
        </w:rPr>
        <w:t xml:space="preserve"> </w:t>
      </w:r>
      <w:r>
        <w:rPr>
          <w:szCs w:val="28"/>
        </w:rPr>
        <w:t xml:space="preserve">бактерий рода </w:t>
      </w:r>
      <w:proofErr w:type="spellStart"/>
      <w:r w:rsidRPr="006F661E">
        <w:rPr>
          <w:i/>
          <w:szCs w:val="28"/>
        </w:rPr>
        <w:t>Bacillus</w:t>
      </w:r>
      <w:proofErr w:type="spellEnd"/>
      <w:r w:rsidRPr="006F661E">
        <w:rPr>
          <w:szCs w:val="28"/>
        </w:rPr>
        <w:t xml:space="preserve"> в отношении </w:t>
      </w:r>
      <w:r>
        <w:rPr>
          <w:szCs w:val="28"/>
        </w:rPr>
        <w:t>широкого спектра</w:t>
      </w:r>
      <w:r w:rsidRPr="006F661E">
        <w:rPr>
          <w:szCs w:val="28"/>
        </w:rPr>
        <w:t xml:space="preserve"> патогенов, являются </w:t>
      </w:r>
      <w:proofErr w:type="spellStart"/>
      <w:r w:rsidRPr="006F661E">
        <w:rPr>
          <w:szCs w:val="28"/>
        </w:rPr>
        <w:t>липопептиды</w:t>
      </w:r>
      <w:proofErr w:type="spellEnd"/>
      <w:r w:rsidRPr="006F661E">
        <w:rPr>
          <w:szCs w:val="28"/>
        </w:rPr>
        <w:t xml:space="preserve"> </w:t>
      </w:r>
      <w:r>
        <w:rPr>
          <w:szCs w:val="28"/>
        </w:rPr>
        <w:t>группы</w:t>
      </w:r>
      <w:r w:rsidRPr="006F661E">
        <w:rPr>
          <w:szCs w:val="28"/>
        </w:rPr>
        <w:t xml:space="preserve"> </w:t>
      </w:r>
      <w:proofErr w:type="spellStart"/>
      <w:r w:rsidRPr="006F661E">
        <w:rPr>
          <w:szCs w:val="28"/>
        </w:rPr>
        <w:t>сурфактинов</w:t>
      </w:r>
      <w:proofErr w:type="spellEnd"/>
      <w:r w:rsidRPr="006F661E">
        <w:rPr>
          <w:szCs w:val="28"/>
        </w:rPr>
        <w:t xml:space="preserve"> </w:t>
      </w:r>
      <w:r w:rsidR="001E5D28">
        <w:t>(рис</w:t>
      </w:r>
      <w:r w:rsidR="001E5D28" w:rsidRPr="001E5D28">
        <w:t>.</w:t>
      </w:r>
      <w:r w:rsidR="001E5D28">
        <w:rPr>
          <w:lang w:val="en-US"/>
        </w:rPr>
        <w:t> </w:t>
      </w:r>
      <w:r w:rsidR="001E5D28" w:rsidRPr="001E5D28">
        <w:t>1</w:t>
      </w:r>
      <w:r w:rsidR="001E5D28">
        <w:t>)</w:t>
      </w:r>
      <w:r w:rsidR="001E5D28" w:rsidRPr="001E5D28">
        <w:rPr>
          <w:szCs w:val="28"/>
        </w:rPr>
        <w:t xml:space="preserve"> </w:t>
      </w:r>
      <w:r w:rsidRPr="006F661E">
        <w:rPr>
          <w:szCs w:val="28"/>
        </w:rPr>
        <w:t xml:space="preserve">и </w:t>
      </w:r>
      <w:proofErr w:type="spellStart"/>
      <w:r w:rsidRPr="006F661E">
        <w:rPr>
          <w:szCs w:val="28"/>
        </w:rPr>
        <w:t>итуринов</w:t>
      </w:r>
      <w:proofErr w:type="spellEnd"/>
      <w:r w:rsidRPr="006F661E">
        <w:rPr>
          <w:szCs w:val="28"/>
        </w:rPr>
        <w:t xml:space="preserve"> </w:t>
      </w:r>
      <w:r w:rsidRPr="00830641">
        <w:rPr>
          <w:szCs w:val="28"/>
        </w:rPr>
        <w:t>[</w:t>
      </w:r>
      <w:r w:rsidR="009D73C3">
        <w:rPr>
          <w:szCs w:val="28"/>
        </w:rPr>
        <w:t>2, 3</w:t>
      </w:r>
      <w:r w:rsidRPr="005168BD">
        <w:rPr>
          <w:szCs w:val="28"/>
        </w:rPr>
        <w:t>]</w:t>
      </w:r>
      <w:r>
        <w:rPr>
          <w:szCs w:val="28"/>
        </w:rPr>
        <w:t>.</w:t>
      </w:r>
    </w:p>
    <w:p w:rsidR="009D73C3" w:rsidRPr="009D73C3" w:rsidRDefault="009D73C3" w:rsidP="00670E55">
      <w:pPr>
        <w:autoSpaceDE w:val="0"/>
        <w:autoSpaceDN w:val="0"/>
        <w:adjustRightInd w:val="0"/>
        <w:spacing w:line="360" w:lineRule="exact"/>
        <w:ind w:firstLine="567"/>
        <w:contextualSpacing/>
        <w:jc w:val="both"/>
        <w:rPr>
          <w:szCs w:val="28"/>
        </w:rPr>
      </w:pPr>
    </w:p>
    <w:p w:rsidR="009D73C3" w:rsidRDefault="00240AEC" w:rsidP="009D73C3">
      <w:pPr>
        <w:spacing w:line="360" w:lineRule="auto"/>
        <w:ind w:firstLine="567"/>
        <w:contextualSpacing/>
        <w:jc w:val="center"/>
      </w:pPr>
      <w:r>
        <w:rPr>
          <w:noProof/>
        </w:rPr>
        <w:drawing>
          <wp:inline distT="0" distB="0" distL="0" distR="0">
            <wp:extent cx="3964940" cy="224599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l="7169" t="8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40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3C3" w:rsidRPr="00D57635" w:rsidRDefault="009D73C3" w:rsidP="009D73C3">
      <w:pPr>
        <w:contextualSpacing/>
        <w:jc w:val="center"/>
      </w:pPr>
      <w:r w:rsidRPr="00433265">
        <w:rPr>
          <w:b/>
        </w:rPr>
        <w:t xml:space="preserve">Рисунок </w:t>
      </w:r>
      <w:r>
        <w:rPr>
          <w:b/>
        </w:rPr>
        <w:t>1</w:t>
      </w:r>
      <w:r w:rsidRPr="00D57635">
        <w:t xml:space="preserve"> – Таксономическая принадлежность исследуемых </w:t>
      </w:r>
      <w:r w:rsidR="009F068C">
        <w:br/>
        <w:t xml:space="preserve">тест-культур </w:t>
      </w:r>
      <w:r w:rsidRPr="00D57635">
        <w:t>микроорганиз</w:t>
      </w:r>
      <w:r>
        <w:t>мов</w:t>
      </w:r>
    </w:p>
    <w:p w:rsidR="009D73C3" w:rsidRDefault="009D73C3" w:rsidP="009D73C3">
      <w:pPr>
        <w:autoSpaceDE w:val="0"/>
        <w:autoSpaceDN w:val="0"/>
        <w:adjustRightInd w:val="0"/>
        <w:spacing w:line="360" w:lineRule="exact"/>
        <w:ind w:firstLine="567"/>
        <w:contextualSpacing/>
        <w:jc w:val="both"/>
        <w:rPr>
          <w:szCs w:val="28"/>
        </w:rPr>
      </w:pPr>
    </w:p>
    <w:p w:rsidR="009D73C3" w:rsidRPr="00830641" w:rsidRDefault="009D73C3" w:rsidP="006A58C0">
      <w:pPr>
        <w:spacing w:line="360" w:lineRule="exact"/>
        <w:ind w:firstLine="567"/>
        <w:jc w:val="both"/>
        <w:rPr>
          <w:szCs w:val="28"/>
        </w:rPr>
      </w:pPr>
      <w:r w:rsidRPr="002C2341">
        <w:rPr>
          <w:color w:val="000000"/>
          <w:szCs w:val="28"/>
          <w:shd w:val="clear" w:color="auto" w:fill="FFFFFF"/>
        </w:rPr>
        <w:t xml:space="preserve">Одним из перспективных направлений </w:t>
      </w:r>
      <w:proofErr w:type="spellStart"/>
      <w:r>
        <w:rPr>
          <w:color w:val="000000"/>
          <w:szCs w:val="28"/>
          <w:shd w:val="clear" w:color="auto" w:fill="FFFFFF"/>
        </w:rPr>
        <w:t>ремедиации</w:t>
      </w:r>
      <w:proofErr w:type="spellEnd"/>
      <w:r>
        <w:rPr>
          <w:color w:val="000000"/>
          <w:szCs w:val="28"/>
          <w:shd w:val="clear" w:color="auto" w:fill="FFFFFF"/>
        </w:rPr>
        <w:t xml:space="preserve"> природных сред</w:t>
      </w:r>
      <w:r w:rsidRPr="002C2341">
        <w:rPr>
          <w:color w:val="000000"/>
          <w:szCs w:val="28"/>
          <w:shd w:val="clear" w:color="auto" w:fill="FFFFFF"/>
        </w:rPr>
        <w:t xml:space="preserve"> явл</w:t>
      </w:r>
      <w:r w:rsidRPr="002C2341">
        <w:rPr>
          <w:color w:val="000000"/>
          <w:szCs w:val="28"/>
          <w:shd w:val="clear" w:color="auto" w:fill="FFFFFF"/>
        </w:rPr>
        <w:t>я</w:t>
      </w:r>
      <w:r w:rsidRPr="002C2341">
        <w:rPr>
          <w:color w:val="000000"/>
          <w:szCs w:val="28"/>
          <w:shd w:val="clear" w:color="auto" w:fill="FFFFFF"/>
        </w:rPr>
        <w:t xml:space="preserve">ется интродукция активных микроорганизмов-деструкторов </w:t>
      </w:r>
      <w:proofErr w:type="spellStart"/>
      <w:r w:rsidRPr="002C2341">
        <w:rPr>
          <w:color w:val="000000"/>
          <w:szCs w:val="28"/>
          <w:shd w:val="clear" w:color="auto" w:fill="FFFFFF"/>
        </w:rPr>
        <w:t>ксенобиотиков</w:t>
      </w:r>
      <w:proofErr w:type="spellEnd"/>
      <w:r w:rsidRPr="002C2341">
        <w:rPr>
          <w:color w:val="000000"/>
          <w:szCs w:val="28"/>
          <w:shd w:val="clear" w:color="auto" w:fill="FFFFFF"/>
        </w:rPr>
        <w:t xml:space="preserve"> в почвы, загрязненные пестицидами</w:t>
      </w:r>
      <w:r>
        <w:rPr>
          <w:color w:val="000000"/>
          <w:szCs w:val="28"/>
          <w:shd w:val="clear" w:color="auto" w:fill="FFFFFF"/>
        </w:rPr>
        <w:t xml:space="preserve"> (Таб</w:t>
      </w:r>
      <w:r w:rsidR="001E5D28">
        <w:rPr>
          <w:color w:val="000000"/>
          <w:szCs w:val="28"/>
          <w:shd w:val="clear" w:color="auto" w:fill="FFFFFF"/>
        </w:rPr>
        <w:t>. </w:t>
      </w:r>
      <w:r>
        <w:rPr>
          <w:color w:val="000000"/>
          <w:szCs w:val="28"/>
          <w:shd w:val="clear" w:color="auto" w:fill="FFFFFF"/>
        </w:rPr>
        <w:t>2)</w:t>
      </w:r>
      <w:r w:rsidRPr="002C2341">
        <w:rPr>
          <w:color w:val="000000"/>
          <w:szCs w:val="28"/>
          <w:shd w:val="clear" w:color="auto" w:fill="FFFFFF"/>
        </w:rPr>
        <w:t>. При этом необходимо получение всесторонней информации о миграции, кумуляции и превращениях пестиц</w:t>
      </w:r>
      <w:r w:rsidRPr="002C2341">
        <w:rPr>
          <w:color w:val="000000"/>
          <w:szCs w:val="28"/>
          <w:shd w:val="clear" w:color="auto" w:fill="FFFFFF"/>
        </w:rPr>
        <w:t>и</w:t>
      </w:r>
      <w:r w:rsidRPr="002C2341">
        <w:rPr>
          <w:color w:val="000000"/>
          <w:szCs w:val="28"/>
          <w:shd w:val="clear" w:color="auto" w:fill="FFFFFF"/>
        </w:rPr>
        <w:t>дов в природных средах (динамике), а также факторах, повышающих эффе</w:t>
      </w:r>
      <w:r w:rsidRPr="002C2341">
        <w:rPr>
          <w:color w:val="000000"/>
          <w:szCs w:val="28"/>
          <w:shd w:val="clear" w:color="auto" w:fill="FFFFFF"/>
        </w:rPr>
        <w:t>к</w:t>
      </w:r>
      <w:r w:rsidRPr="002C2341">
        <w:rPr>
          <w:color w:val="000000"/>
          <w:szCs w:val="28"/>
          <w:shd w:val="clear" w:color="auto" w:fill="FFFFFF"/>
        </w:rPr>
        <w:t>тивность целенаправленного применения бактерий-деструкторов (иммобил</w:t>
      </w:r>
      <w:r w:rsidRPr="002C2341">
        <w:rPr>
          <w:color w:val="000000"/>
          <w:szCs w:val="28"/>
          <w:shd w:val="clear" w:color="auto" w:fill="FFFFFF"/>
        </w:rPr>
        <w:t>и</w:t>
      </w:r>
      <w:r w:rsidRPr="002C2341">
        <w:rPr>
          <w:color w:val="000000"/>
          <w:szCs w:val="28"/>
          <w:shd w:val="clear" w:color="auto" w:fill="FFFFFF"/>
        </w:rPr>
        <w:t>зация, внесение дополнительных субстратов)</w:t>
      </w:r>
      <w:r>
        <w:rPr>
          <w:color w:val="000000"/>
          <w:szCs w:val="28"/>
          <w:shd w:val="clear" w:color="auto" w:fill="FFFFFF"/>
        </w:rPr>
        <w:t xml:space="preserve"> </w:t>
      </w:r>
      <w:r w:rsidRPr="002C2341">
        <w:rPr>
          <w:color w:val="000000"/>
          <w:szCs w:val="28"/>
          <w:shd w:val="clear" w:color="auto" w:fill="FFFFFF"/>
        </w:rPr>
        <w:t>[</w:t>
      </w:r>
      <w:r>
        <w:rPr>
          <w:color w:val="000000"/>
          <w:szCs w:val="28"/>
          <w:shd w:val="clear" w:color="auto" w:fill="FFFFFF"/>
        </w:rPr>
        <w:t>3</w:t>
      </w:r>
      <w:r w:rsidRPr="002C2341">
        <w:rPr>
          <w:color w:val="000000"/>
          <w:szCs w:val="28"/>
          <w:shd w:val="clear" w:color="auto" w:fill="FFFFFF"/>
        </w:rPr>
        <w:t>].</w:t>
      </w:r>
    </w:p>
    <w:p w:rsidR="00462235" w:rsidRDefault="00462235" w:rsidP="009D73C3">
      <w:pPr>
        <w:rPr>
          <w:bCs/>
          <w:iCs/>
          <w:color w:val="000000"/>
          <w:szCs w:val="28"/>
        </w:rPr>
      </w:pPr>
    </w:p>
    <w:p w:rsidR="00462235" w:rsidRDefault="00462235" w:rsidP="00462235">
      <w:pPr>
        <w:rPr>
          <w:szCs w:val="28"/>
        </w:rPr>
      </w:pPr>
      <w:r w:rsidRPr="00462235">
        <w:rPr>
          <w:b/>
          <w:bCs/>
          <w:iCs/>
          <w:color w:val="000000"/>
          <w:szCs w:val="28"/>
        </w:rPr>
        <w:lastRenderedPageBreak/>
        <w:t xml:space="preserve">Таблица </w:t>
      </w:r>
      <w:r w:rsidR="009D73C3">
        <w:rPr>
          <w:b/>
          <w:bCs/>
          <w:iCs/>
          <w:color w:val="000000"/>
          <w:szCs w:val="28"/>
        </w:rPr>
        <w:t>2</w:t>
      </w:r>
      <w:r>
        <w:rPr>
          <w:bCs/>
          <w:iCs/>
          <w:color w:val="000000"/>
          <w:szCs w:val="28"/>
        </w:rPr>
        <w:t xml:space="preserve"> – </w:t>
      </w:r>
      <w:r>
        <w:rPr>
          <w:szCs w:val="28"/>
        </w:rPr>
        <w:t>Рост бактерий при разной концентрации нефти</w:t>
      </w:r>
    </w:p>
    <w:tbl>
      <w:tblPr>
        <w:tblpPr w:leftFromText="180" w:rightFromText="180" w:vertAnchor="text" w:horzAnchor="margin" w:tblpXSpec="center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86"/>
        <w:gridCol w:w="1087"/>
        <w:gridCol w:w="1087"/>
        <w:gridCol w:w="1086"/>
        <w:gridCol w:w="1087"/>
        <w:gridCol w:w="1087"/>
      </w:tblGrid>
      <w:tr w:rsidR="00462235" w:rsidRPr="00462235" w:rsidTr="00462235">
        <w:trPr>
          <w:trHeight w:val="20"/>
        </w:trPr>
        <w:tc>
          <w:tcPr>
            <w:tcW w:w="2660" w:type="dxa"/>
            <w:vMerge w:val="restart"/>
            <w:vAlign w:val="center"/>
          </w:tcPr>
          <w:p w:rsidR="00462235" w:rsidRDefault="00010FA8" w:rsidP="004622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462235" w:rsidRPr="00462235">
              <w:rPr>
                <w:bCs/>
                <w:sz w:val="24"/>
                <w:szCs w:val="24"/>
              </w:rPr>
              <w:t>онцентрация нефти,</w:t>
            </w:r>
          </w:p>
          <w:p w:rsidR="00462235" w:rsidRPr="00462235" w:rsidRDefault="00462235" w:rsidP="00462235">
            <w:pPr>
              <w:jc w:val="center"/>
              <w:rPr>
                <w:bCs/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2235" w:rsidRPr="00462235" w:rsidRDefault="00010FA8" w:rsidP="0046223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</w:t>
            </w:r>
            <w:r w:rsidR="00462235" w:rsidRPr="00462235">
              <w:rPr>
                <w:bCs/>
                <w:sz w:val="24"/>
                <w:szCs w:val="24"/>
              </w:rPr>
              <w:t>тамм</w:t>
            </w:r>
          </w:p>
        </w:tc>
      </w:tr>
      <w:tr w:rsidR="00462235" w:rsidRPr="00462235" w:rsidTr="00462235">
        <w:trPr>
          <w:trHeight w:val="20"/>
        </w:trPr>
        <w:tc>
          <w:tcPr>
            <w:tcW w:w="2660" w:type="dxa"/>
            <w:vMerge/>
            <w:tcBorders>
              <w:bottom w:val="single" w:sz="4" w:space="0" w:color="000000"/>
            </w:tcBorders>
            <w:vAlign w:val="center"/>
          </w:tcPr>
          <w:p w:rsidR="00462235" w:rsidRPr="00462235" w:rsidRDefault="00462235" w:rsidP="0046223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  <w:lang w:val="la-Latn"/>
              </w:rPr>
              <w:t>90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  <w:lang w:val="la-Latn"/>
              </w:rPr>
              <w:t>102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  <w:lang w:val="la-Latn"/>
              </w:rPr>
              <w:t>108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  <w:lang w:val="la-Latn"/>
              </w:rPr>
              <w:t>10</w:t>
            </w:r>
            <w:r w:rsidRPr="0046223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  <w:lang w:val="la-Latn"/>
              </w:rPr>
              <w:t>112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  <w:lang w:val="la-Latn"/>
              </w:rPr>
              <w:t>114</w:t>
            </w:r>
          </w:p>
        </w:tc>
      </w:tr>
      <w:tr w:rsidR="00462235" w:rsidRPr="00462235" w:rsidTr="00462235">
        <w:trPr>
          <w:trHeight w:val="20"/>
        </w:trPr>
        <w:tc>
          <w:tcPr>
            <w:tcW w:w="2660" w:type="dxa"/>
            <w:vAlign w:val="center"/>
          </w:tcPr>
          <w:p w:rsidR="00462235" w:rsidRPr="00462235" w:rsidRDefault="00462235" w:rsidP="00462235">
            <w:pPr>
              <w:jc w:val="center"/>
              <w:rPr>
                <w:bCs/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32</w:t>
            </w:r>
          </w:p>
        </w:tc>
      </w:tr>
      <w:tr w:rsidR="00462235" w:rsidRPr="00462235" w:rsidTr="00462235">
        <w:trPr>
          <w:trHeight w:val="20"/>
        </w:trPr>
        <w:tc>
          <w:tcPr>
            <w:tcW w:w="2660" w:type="dxa"/>
            <w:vAlign w:val="center"/>
          </w:tcPr>
          <w:p w:rsidR="00462235" w:rsidRPr="00462235" w:rsidRDefault="00462235" w:rsidP="00462235">
            <w:pPr>
              <w:jc w:val="center"/>
              <w:rPr>
                <w:bCs/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23</w:t>
            </w:r>
          </w:p>
        </w:tc>
      </w:tr>
      <w:tr w:rsidR="00462235" w:rsidRPr="00462235" w:rsidTr="00462235">
        <w:trPr>
          <w:trHeight w:val="20"/>
        </w:trPr>
        <w:tc>
          <w:tcPr>
            <w:tcW w:w="2660" w:type="dxa"/>
            <w:vAlign w:val="center"/>
          </w:tcPr>
          <w:p w:rsidR="00462235" w:rsidRPr="00462235" w:rsidRDefault="00462235" w:rsidP="00462235">
            <w:pPr>
              <w:jc w:val="center"/>
              <w:rPr>
                <w:bCs/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22</w:t>
            </w:r>
          </w:p>
        </w:tc>
      </w:tr>
      <w:tr w:rsidR="00462235" w:rsidRPr="00462235" w:rsidTr="00462235">
        <w:trPr>
          <w:trHeight w:val="20"/>
        </w:trPr>
        <w:tc>
          <w:tcPr>
            <w:tcW w:w="2660" w:type="dxa"/>
            <w:vAlign w:val="center"/>
          </w:tcPr>
          <w:p w:rsidR="00462235" w:rsidRPr="00462235" w:rsidRDefault="00462235" w:rsidP="00462235">
            <w:pPr>
              <w:jc w:val="center"/>
              <w:rPr>
                <w:bCs/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18</w:t>
            </w:r>
          </w:p>
        </w:tc>
      </w:tr>
      <w:tr w:rsidR="00462235" w:rsidRPr="00462235" w:rsidTr="00462235">
        <w:trPr>
          <w:trHeight w:val="20"/>
        </w:trPr>
        <w:tc>
          <w:tcPr>
            <w:tcW w:w="2660" w:type="dxa"/>
            <w:vAlign w:val="center"/>
          </w:tcPr>
          <w:p w:rsidR="00462235" w:rsidRPr="00462235" w:rsidRDefault="00462235" w:rsidP="00462235">
            <w:pPr>
              <w:jc w:val="center"/>
              <w:rPr>
                <w:bCs/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62235" w:rsidRPr="00462235" w:rsidRDefault="00462235" w:rsidP="00462235">
            <w:pPr>
              <w:jc w:val="center"/>
              <w:rPr>
                <w:sz w:val="24"/>
                <w:szCs w:val="24"/>
              </w:rPr>
            </w:pPr>
            <w:r w:rsidRPr="00462235">
              <w:rPr>
                <w:bCs/>
                <w:sz w:val="24"/>
                <w:szCs w:val="24"/>
              </w:rPr>
              <w:t>10</w:t>
            </w:r>
          </w:p>
        </w:tc>
      </w:tr>
    </w:tbl>
    <w:p w:rsidR="00462235" w:rsidRPr="006F661E" w:rsidRDefault="00462235" w:rsidP="009D73C3">
      <w:pPr>
        <w:spacing w:line="360" w:lineRule="exact"/>
        <w:contextualSpacing/>
        <w:jc w:val="both"/>
        <w:rPr>
          <w:szCs w:val="28"/>
        </w:rPr>
      </w:pPr>
    </w:p>
    <w:p w:rsidR="008F63D1" w:rsidRPr="008F63D1" w:rsidRDefault="00D80B34" w:rsidP="008F63D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Литература</w:t>
      </w:r>
    </w:p>
    <w:p w:rsidR="008F63D1" w:rsidRPr="008F63D1" w:rsidRDefault="005C3533" w:rsidP="008F63D1">
      <w:pPr>
        <w:pStyle w:val="a5"/>
        <w:ind w:left="425" w:hanging="425"/>
        <w:rPr>
          <w:sz w:val="24"/>
          <w:szCs w:val="24"/>
        </w:rPr>
      </w:pPr>
      <w:r w:rsidRPr="008F63D1">
        <w:rPr>
          <w:rFonts w:eastAsia="Calibri"/>
          <w:b/>
          <w:sz w:val="24"/>
          <w:szCs w:val="24"/>
          <w:lang w:val="en-US" w:eastAsia="en-US"/>
        </w:rPr>
        <w:fldChar w:fldCharType="begin"/>
      </w:r>
      <w:r w:rsidR="008F63D1" w:rsidRPr="008F63D1">
        <w:rPr>
          <w:b/>
          <w:sz w:val="24"/>
          <w:szCs w:val="24"/>
        </w:rPr>
        <w:instrText xml:space="preserve"> ADDIN ZOTERO_BIBL {"custom":[]} CSL_BIBLIOGRAPHY </w:instrText>
      </w:r>
      <w:r w:rsidRPr="008F63D1">
        <w:rPr>
          <w:rFonts w:eastAsia="Calibri"/>
          <w:b/>
          <w:sz w:val="24"/>
          <w:szCs w:val="24"/>
          <w:lang w:val="en-US" w:eastAsia="en-US"/>
        </w:rPr>
        <w:fldChar w:fldCharType="separate"/>
      </w:r>
      <w:r w:rsidR="008F63D1" w:rsidRPr="008F63D1">
        <w:rPr>
          <w:sz w:val="24"/>
          <w:szCs w:val="24"/>
        </w:rPr>
        <w:t>1.</w:t>
      </w:r>
      <w:r w:rsidR="008F63D1" w:rsidRPr="008F63D1">
        <w:rPr>
          <w:sz w:val="24"/>
          <w:szCs w:val="24"/>
        </w:rPr>
        <w:tab/>
        <w:t>Поликсенова, В.Д. Индуцированная устойчивость растений к патогенам и абиотич</w:t>
      </w:r>
      <w:r w:rsidR="008F63D1" w:rsidRPr="008F63D1">
        <w:rPr>
          <w:sz w:val="24"/>
          <w:szCs w:val="24"/>
        </w:rPr>
        <w:t>е</w:t>
      </w:r>
      <w:r w:rsidR="008F63D1" w:rsidRPr="008F63D1">
        <w:rPr>
          <w:sz w:val="24"/>
          <w:szCs w:val="24"/>
        </w:rPr>
        <w:t xml:space="preserve">ским стрессовым факторам (на примере томата) / В.Д. Поликсенова // </w:t>
      </w:r>
      <w:r w:rsidR="00F246DF">
        <w:rPr>
          <w:sz w:val="24"/>
          <w:szCs w:val="24"/>
        </w:rPr>
        <w:t>Вестник БГУ. – 2009. – Vol. 1,</w:t>
      </w:r>
      <w:r w:rsidR="008F63D1" w:rsidRPr="008F63D1">
        <w:rPr>
          <w:sz w:val="24"/>
          <w:szCs w:val="24"/>
        </w:rPr>
        <w:t xml:space="preserve"> № 2. – P. 48–60.</w:t>
      </w:r>
    </w:p>
    <w:p w:rsidR="008F63D1" w:rsidRPr="008F63D1" w:rsidRDefault="008F63D1" w:rsidP="008F63D1">
      <w:pPr>
        <w:pStyle w:val="a5"/>
        <w:ind w:left="425" w:hanging="425"/>
        <w:rPr>
          <w:sz w:val="24"/>
          <w:szCs w:val="24"/>
          <w:lang w:val="en-US"/>
        </w:rPr>
      </w:pPr>
      <w:r w:rsidRPr="00F246DF">
        <w:rPr>
          <w:sz w:val="24"/>
          <w:szCs w:val="24"/>
          <w:lang w:val="en-US"/>
        </w:rPr>
        <w:t>2.</w:t>
      </w:r>
      <w:r w:rsidRPr="00F246DF">
        <w:rPr>
          <w:sz w:val="24"/>
          <w:szCs w:val="24"/>
          <w:lang w:val="en-US"/>
        </w:rPr>
        <w:tab/>
      </w:r>
      <w:r w:rsidRPr="008F63D1">
        <w:rPr>
          <w:sz w:val="24"/>
          <w:szCs w:val="24"/>
          <w:lang w:val="en-US"/>
        </w:rPr>
        <w:t>Harpin</w:t>
      </w:r>
      <w:r w:rsidRPr="00F246DF">
        <w:rPr>
          <w:sz w:val="24"/>
          <w:szCs w:val="24"/>
          <w:lang w:val="en-US"/>
        </w:rPr>
        <w:t xml:space="preserve"> </w:t>
      </w:r>
      <w:r w:rsidRPr="008F63D1">
        <w:rPr>
          <w:sz w:val="24"/>
          <w:szCs w:val="24"/>
          <w:lang w:val="en-US"/>
        </w:rPr>
        <w:t>induces</w:t>
      </w:r>
      <w:r w:rsidRPr="00F246DF">
        <w:rPr>
          <w:sz w:val="24"/>
          <w:szCs w:val="24"/>
          <w:lang w:val="en-US"/>
        </w:rPr>
        <w:t xml:space="preserve"> </w:t>
      </w:r>
      <w:r w:rsidRPr="008F63D1">
        <w:rPr>
          <w:sz w:val="24"/>
          <w:szCs w:val="24"/>
          <w:lang w:val="en-US"/>
        </w:rPr>
        <w:t>disease</w:t>
      </w:r>
      <w:r w:rsidRPr="00F246DF">
        <w:rPr>
          <w:sz w:val="24"/>
          <w:szCs w:val="24"/>
          <w:lang w:val="en-US"/>
        </w:rPr>
        <w:t xml:space="preserve"> </w:t>
      </w:r>
      <w:r w:rsidRPr="008F63D1">
        <w:rPr>
          <w:sz w:val="24"/>
          <w:szCs w:val="24"/>
          <w:lang w:val="en-US"/>
        </w:rPr>
        <w:t>resistance</w:t>
      </w:r>
      <w:r w:rsidRPr="00F246DF">
        <w:rPr>
          <w:sz w:val="24"/>
          <w:szCs w:val="24"/>
          <w:lang w:val="en-US"/>
        </w:rPr>
        <w:t xml:space="preserve"> </w:t>
      </w:r>
      <w:r w:rsidRPr="008F63D1">
        <w:rPr>
          <w:sz w:val="24"/>
          <w:szCs w:val="24"/>
          <w:lang w:val="en-US"/>
        </w:rPr>
        <w:t>in</w:t>
      </w:r>
      <w:r w:rsidRPr="00F246DF">
        <w:rPr>
          <w:sz w:val="24"/>
          <w:szCs w:val="24"/>
          <w:lang w:val="en-US"/>
        </w:rPr>
        <w:t xml:space="preserve"> </w:t>
      </w:r>
      <w:r w:rsidRPr="00F246DF">
        <w:rPr>
          <w:i/>
          <w:sz w:val="24"/>
          <w:szCs w:val="24"/>
          <w:lang w:val="en-US"/>
        </w:rPr>
        <w:t xml:space="preserve">Arabidopsis </w:t>
      </w:r>
      <w:r w:rsidRPr="008F63D1">
        <w:rPr>
          <w:sz w:val="24"/>
          <w:szCs w:val="24"/>
          <w:lang w:val="en-US"/>
        </w:rPr>
        <w:t>through</w:t>
      </w:r>
      <w:r w:rsidRPr="00F246DF">
        <w:rPr>
          <w:sz w:val="24"/>
          <w:szCs w:val="24"/>
          <w:lang w:val="en-US"/>
        </w:rPr>
        <w:t xml:space="preserve"> </w:t>
      </w:r>
      <w:r w:rsidRPr="008F63D1">
        <w:rPr>
          <w:sz w:val="24"/>
          <w:szCs w:val="24"/>
          <w:lang w:val="en-US"/>
        </w:rPr>
        <w:t>the</w:t>
      </w:r>
      <w:r w:rsidRPr="00F246DF">
        <w:rPr>
          <w:sz w:val="24"/>
          <w:szCs w:val="24"/>
          <w:lang w:val="en-US"/>
        </w:rPr>
        <w:t xml:space="preserve"> </w:t>
      </w:r>
      <w:r w:rsidRPr="008F63D1">
        <w:rPr>
          <w:sz w:val="24"/>
          <w:szCs w:val="24"/>
          <w:lang w:val="en-US"/>
        </w:rPr>
        <w:t>systemic</w:t>
      </w:r>
      <w:r w:rsidRPr="00F246DF">
        <w:rPr>
          <w:sz w:val="24"/>
          <w:szCs w:val="24"/>
          <w:lang w:val="en-US"/>
        </w:rPr>
        <w:t xml:space="preserve"> </w:t>
      </w:r>
      <w:r w:rsidRPr="008F63D1">
        <w:rPr>
          <w:sz w:val="24"/>
          <w:szCs w:val="24"/>
          <w:lang w:val="en-US"/>
        </w:rPr>
        <w:t>acquired</w:t>
      </w:r>
      <w:r w:rsidRPr="00F246DF">
        <w:rPr>
          <w:sz w:val="24"/>
          <w:szCs w:val="24"/>
          <w:lang w:val="en-US"/>
        </w:rPr>
        <w:t xml:space="preserve"> </w:t>
      </w:r>
      <w:r w:rsidRPr="008F63D1">
        <w:rPr>
          <w:sz w:val="24"/>
          <w:szCs w:val="24"/>
          <w:lang w:val="en-US"/>
        </w:rPr>
        <w:t>resistance pathway mediated by salicylic acid and the NIM1 gene / H. Dong [et al.] // Plant J</w:t>
      </w:r>
      <w:r w:rsidR="00F246DF" w:rsidRPr="00F246DF">
        <w:rPr>
          <w:sz w:val="24"/>
          <w:szCs w:val="24"/>
          <w:lang w:val="en-US"/>
        </w:rPr>
        <w:t>.</w:t>
      </w:r>
      <w:r w:rsidR="00F246DF">
        <w:rPr>
          <w:sz w:val="24"/>
          <w:szCs w:val="24"/>
          <w:lang w:val="en-US"/>
        </w:rPr>
        <w:t xml:space="preserve"> – 1999. – Vol. 20</w:t>
      </w:r>
      <w:r w:rsidR="00F246DF" w:rsidRPr="00F246DF">
        <w:rPr>
          <w:sz w:val="24"/>
          <w:szCs w:val="24"/>
          <w:lang w:val="en-US"/>
        </w:rPr>
        <w:t xml:space="preserve">, </w:t>
      </w:r>
      <w:r w:rsidRPr="008F63D1">
        <w:rPr>
          <w:sz w:val="24"/>
          <w:szCs w:val="24"/>
          <w:lang w:val="en-US"/>
        </w:rPr>
        <w:t>№ 2. – P. 207-215.</w:t>
      </w:r>
    </w:p>
    <w:p w:rsidR="00F27B43" w:rsidRPr="008F63D1" w:rsidRDefault="008F63D1" w:rsidP="008F63D1">
      <w:pPr>
        <w:pStyle w:val="a5"/>
        <w:ind w:left="425" w:hanging="425"/>
        <w:rPr>
          <w:b/>
          <w:color w:val="000000"/>
          <w:sz w:val="24"/>
          <w:szCs w:val="28"/>
          <w:lang w:val="en-US"/>
        </w:rPr>
      </w:pPr>
      <w:r w:rsidRPr="008F63D1">
        <w:rPr>
          <w:sz w:val="24"/>
          <w:szCs w:val="24"/>
          <w:lang w:val="en-US"/>
        </w:rPr>
        <w:t>3.</w:t>
      </w:r>
      <w:r w:rsidRPr="008F63D1">
        <w:rPr>
          <w:sz w:val="24"/>
          <w:szCs w:val="24"/>
          <w:lang w:val="en-US"/>
        </w:rPr>
        <w:tab/>
        <w:t>Fontanilla, M. Effects of the foliar-applied protein “Harpin(Ea)” (messenger) on tomatoes i</w:t>
      </w:r>
      <w:r w:rsidRPr="008F63D1">
        <w:rPr>
          <w:sz w:val="24"/>
          <w:szCs w:val="24"/>
          <w:lang w:val="en-US"/>
        </w:rPr>
        <w:t>n</w:t>
      </w:r>
      <w:r w:rsidRPr="008F63D1">
        <w:rPr>
          <w:sz w:val="24"/>
          <w:szCs w:val="24"/>
          <w:lang w:val="en-US"/>
        </w:rPr>
        <w:t xml:space="preserve">fected with </w:t>
      </w:r>
      <w:r w:rsidRPr="00F246DF">
        <w:rPr>
          <w:i/>
          <w:sz w:val="24"/>
          <w:szCs w:val="24"/>
          <w:lang w:val="en-US"/>
        </w:rPr>
        <w:t>Phytophthora infestans</w:t>
      </w:r>
      <w:r w:rsidR="00F246DF" w:rsidRPr="00F246DF">
        <w:rPr>
          <w:sz w:val="24"/>
          <w:szCs w:val="24"/>
          <w:lang w:val="en-US"/>
        </w:rPr>
        <w:t xml:space="preserve"> </w:t>
      </w:r>
      <w:r w:rsidRPr="008F63D1">
        <w:rPr>
          <w:sz w:val="24"/>
          <w:szCs w:val="24"/>
          <w:lang w:val="en-US"/>
        </w:rPr>
        <w:t>/ M. Fontanilla, M. Montes, R. De Prado // Communic</w:t>
      </w:r>
      <w:r w:rsidRPr="008F63D1">
        <w:rPr>
          <w:sz w:val="24"/>
          <w:szCs w:val="24"/>
          <w:lang w:val="en-US"/>
        </w:rPr>
        <w:t>a</w:t>
      </w:r>
      <w:r w:rsidRPr="008F63D1">
        <w:rPr>
          <w:sz w:val="24"/>
          <w:szCs w:val="24"/>
          <w:lang w:val="en-US"/>
        </w:rPr>
        <w:t>tions in agricultural and applied biologic</w:t>
      </w:r>
      <w:r w:rsidR="00F246DF">
        <w:rPr>
          <w:sz w:val="24"/>
          <w:szCs w:val="24"/>
          <w:lang w:val="en-US"/>
        </w:rPr>
        <w:t>al sciences. – 2005. – Vol. 70</w:t>
      </w:r>
      <w:r w:rsidR="00F246DF" w:rsidRPr="00F246DF">
        <w:rPr>
          <w:sz w:val="24"/>
          <w:szCs w:val="24"/>
          <w:lang w:val="en-US"/>
        </w:rPr>
        <w:t xml:space="preserve">, </w:t>
      </w:r>
      <w:r w:rsidRPr="008F63D1">
        <w:rPr>
          <w:sz w:val="24"/>
          <w:szCs w:val="24"/>
          <w:lang w:val="en-US"/>
        </w:rPr>
        <w:t>№ 3. – P. 41-45.</w:t>
      </w:r>
      <w:r w:rsidR="005C3533" w:rsidRPr="008F63D1">
        <w:rPr>
          <w:b/>
          <w:sz w:val="24"/>
          <w:szCs w:val="24"/>
          <w:lang w:val="en-US"/>
        </w:rPr>
        <w:fldChar w:fldCharType="end"/>
      </w:r>
    </w:p>
    <w:sectPr w:rsidR="00F27B43" w:rsidRPr="008F63D1" w:rsidSect="00305B9C">
      <w:pgSz w:w="11906" w:h="16838" w:code="9"/>
      <w:pgMar w:top="1134" w:right="1134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334C"/>
    <w:multiLevelType w:val="singleLevel"/>
    <w:tmpl w:val="8C7A8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</w:abstractNum>
  <w:abstractNum w:abstractNumId="1">
    <w:nsid w:val="14DC6621"/>
    <w:multiLevelType w:val="hybridMultilevel"/>
    <w:tmpl w:val="857A25E0"/>
    <w:lvl w:ilvl="0" w:tplc="1240A0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B673B16"/>
    <w:multiLevelType w:val="hybridMultilevel"/>
    <w:tmpl w:val="16703E7E"/>
    <w:lvl w:ilvl="0" w:tplc="6EF2CF98">
      <w:start w:val="1"/>
      <w:numFmt w:val="decimal"/>
      <w:lvlText w:val="%1."/>
      <w:lvlJc w:val="left"/>
      <w:pPr>
        <w:tabs>
          <w:tab w:val="num" w:pos="360"/>
        </w:tabs>
        <w:ind w:left="306" w:hanging="306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A32EBD"/>
    <w:multiLevelType w:val="singleLevel"/>
    <w:tmpl w:val="8D2EB0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64E02986"/>
    <w:multiLevelType w:val="hybridMultilevel"/>
    <w:tmpl w:val="491C0686"/>
    <w:lvl w:ilvl="0" w:tplc="6EF2CF98">
      <w:start w:val="1"/>
      <w:numFmt w:val="decimal"/>
      <w:lvlText w:val="%1."/>
      <w:lvlJc w:val="left"/>
      <w:pPr>
        <w:tabs>
          <w:tab w:val="num" w:pos="360"/>
        </w:tabs>
        <w:ind w:left="306" w:hanging="306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092E7D"/>
    <w:multiLevelType w:val="hybridMultilevel"/>
    <w:tmpl w:val="B478D038"/>
    <w:lvl w:ilvl="0" w:tplc="3B14EAC2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B7343C2"/>
    <w:multiLevelType w:val="hybridMultilevel"/>
    <w:tmpl w:val="4B068752"/>
    <w:lvl w:ilvl="0" w:tplc="6EF2CF98">
      <w:start w:val="1"/>
      <w:numFmt w:val="decimal"/>
      <w:lvlText w:val="%1."/>
      <w:lvlJc w:val="left"/>
      <w:pPr>
        <w:tabs>
          <w:tab w:val="num" w:pos="360"/>
        </w:tabs>
        <w:ind w:left="306" w:hanging="306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006E18"/>
    <w:rsid w:val="00010FA8"/>
    <w:rsid w:val="00016EF0"/>
    <w:rsid w:val="00017621"/>
    <w:rsid w:val="00021413"/>
    <w:rsid w:val="00021682"/>
    <w:rsid w:val="0004558A"/>
    <w:rsid w:val="0008145F"/>
    <w:rsid w:val="000907B0"/>
    <w:rsid w:val="00094DE3"/>
    <w:rsid w:val="000A0059"/>
    <w:rsid w:val="000A146C"/>
    <w:rsid w:val="000F45F6"/>
    <w:rsid w:val="000F7D5A"/>
    <w:rsid w:val="00100445"/>
    <w:rsid w:val="00111DBD"/>
    <w:rsid w:val="00115EE6"/>
    <w:rsid w:val="00127DA4"/>
    <w:rsid w:val="001326BB"/>
    <w:rsid w:val="00133BB0"/>
    <w:rsid w:val="00140AE4"/>
    <w:rsid w:val="001438E3"/>
    <w:rsid w:val="0015058F"/>
    <w:rsid w:val="001B02A2"/>
    <w:rsid w:val="001C4BC1"/>
    <w:rsid w:val="001D0F66"/>
    <w:rsid w:val="001D229A"/>
    <w:rsid w:val="001E5D28"/>
    <w:rsid w:val="00220793"/>
    <w:rsid w:val="002263EA"/>
    <w:rsid w:val="00234404"/>
    <w:rsid w:val="00240AEC"/>
    <w:rsid w:val="00285CF4"/>
    <w:rsid w:val="0029759B"/>
    <w:rsid w:val="002A3F7B"/>
    <w:rsid w:val="002A75AA"/>
    <w:rsid w:val="002B48E2"/>
    <w:rsid w:val="002D1A55"/>
    <w:rsid w:val="002E7828"/>
    <w:rsid w:val="00305B9C"/>
    <w:rsid w:val="00306058"/>
    <w:rsid w:val="0031063E"/>
    <w:rsid w:val="003316A4"/>
    <w:rsid w:val="00344D0B"/>
    <w:rsid w:val="00353FE0"/>
    <w:rsid w:val="003573DF"/>
    <w:rsid w:val="00366ED4"/>
    <w:rsid w:val="0036750B"/>
    <w:rsid w:val="003A1866"/>
    <w:rsid w:val="003B6E7E"/>
    <w:rsid w:val="003D1720"/>
    <w:rsid w:val="003D2226"/>
    <w:rsid w:val="003D77D2"/>
    <w:rsid w:val="003E3349"/>
    <w:rsid w:val="00401626"/>
    <w:rsid w:val="0040304A"/>
    <w:rsid w:val="00412605"/>
    <w:rsid w:val="00412991"/>
    <w:rsid w:val="00433265"/>
    <w:rsid w:val="00453D30"/>
    <w:rsid w:val="00462235"/>
    <w:rsid w:val="00462D60"/>
    <w:rsid w:val="0047624F"/>
    <w:rsid w:val="00476B16"/>
    <w:rsid w:val="00492ABD"/>
    <w:rsid w:val="004C4C30"/>
    <w:rsid w:val="004C68DC"/>
    <w:rsid w:val="004E3CBB"/>
    <w:rsid w:val="004F1BF3"/>
    <w:rsid w:val="00521DE2"/>
    <w:rsid w:val="005405A5"/>
    <w:rsid w:val="005507BD"/>
    <w:rsid w:val="005570DC"/>
    <w:rsid w:val="0056185C"/>
    <w:rsid w:val="005622CB"/>
    <w:rsid w:val="00584CF0"/>
    <w:rsid w:val="00591F84"/>
    <w:rsid w:val="00592C3E"/>
    <w:rsid w:val="00595C34"/>
    <w:rsid w:val="005A3745"/>
    <w:rsid w:val="005A673D"/>
    <w:rsid w:val="005C128E"/>
    <w:rsid w:val="005C3533"/>
    <w:rsid w:val="00612FF8"/>
    <w:rsid w:val="0062546E"/>
    <w:rsid w:val="00633B66"/>
    <w:rsid w:val="00636746"/>
    <w:rsid w:val="00637CCE"/>
    <w:rsid w:val="006533B8"/>
    <w:rsid w:val="00666346"/>
    <w:rsid w:val="00670E55"/>
    <w:rsid w:val="00673C8D"/>
    <w:rsid w:val="006A58C0"/>
    <w:rsid w:val="006A6426"/>
    <w:rsid w:val="006B12C7"/>
    <w:rsid w:val="006D0676"/>
    <w:rsid w:val="006F2D35"/>
    <w:rsid w:val="00710E31"/>
    <w:rsid w:val="007223BB"/>
    <w:rsid w:val="00723F43"/>
    <w:rsid w:val="00733847"/>
    <w:rsid w:val="00770B49"/>
    <w:rsid w:val="00774D3D"/>
    <w:rsid w:val="00775D9D"/>
    <w:rsid w:val="007804D2"/>
    <w:rsid w:val="00782C30"/>
    <w:rsid w:val="00792E8D"/>
    <w:rsid w:val="0079590D"/>
    <w:rsid w:val="007A4818"/>
    <w:rsid w:val="00857C64"/>
    <w:rsid w:val="00874D1A"/>
    <w:rsid w:val="0088377B"/>
    <w:rsid w:val="00886621"/>
    <w:rsid w:val="008D2BEF"/>
    <w:rsid w:val="008F63D1"/>
    <w:rsid w:val="00916FD3"/>
    <w:rsid w:val="00921D3E"/>
    <w:rsid w:val="00924D4A"/>
    <w:rsid w:val="00936723"/>
    <w:rsid w:val="009834E6"/>
    <w:rsid w:val="009910D6"/>
    <w:rsid w:val="009B4915"/>
    <w:rsid w:val="009C1868"/>
    <w:rsid w:val="009C290C"/>
    <w:rsid w:val="009D73C3"/>
    <w:rsid w:val="009F068C"/>
    <w:rsid w:val="00A163D6"/>
    <w:rsid w:val="00A465DD"/>
    <w:rsid w:val="00A646A9"/>
    <w:rsid w:val="00A86CD4"/>
    <w:rsid w:val="00A90B67"/>
    <w:rsid w:val="00AA2309"/>
    <w:rsid w:val="00AF08FC"/>
    <w:rsid w:val="00AF26A5"/>
    <w:rsid w:val="00B10EC0"/>
    <w:rsid w:val="00B21C12"/>
    <w:rsid w:val="00B226B7"/>
    <w:rsid w:val="00B34DFA"/>
    <w:rsid w:val="00B71B97"/>
    <w:rsid w:val="00B71BDE"/>
    <w:rsid w:val="00B83382"/>
    <w:rsid w:val="00B852FC"/>
    <w:rsid w:val="00BA6258"/>
    <w:rsid w:val="00BB44FD"/>
    <w:rsid w:val="00BC3F1C"/>
    <w:rsid w:val="00BD3ABC"/>
    <w:rsid w:val="00BE4CD0"/>
    <w:rsid w:val="00BE50D0"/>
    <w:rsid w:val="00BF2D4E"/>
    <w:rsid w:val="00C32FF1"/>
    <w:rsid w:val="00C44767"/>
    <w:rsid w:val="00C609C9"/>
    <w:rsid w:val="00C93F6B"/>
    <w:rsid w:val="00CA20DD"/>
    <w:rsid w:val="00CB3016"/>
    <w:rsid w:val="00CC0245"/>
    <w:rsid w:val="00D118C9"/>
    <w:rsid w:val="00D15CAC"/>
    <w:rsid w:val="00D30367"/>
    <w:rsid w:val="00D4360B"/>
    <w:rsid w:val="00D509D2"/>
    <w:rsid w:val="00D63DCF"/>
    <w:rsid w:val="00D65D57"/>
    <w:rsid w:val="00D679D5"/>
    <w:rsid w:val="00D732C7"/>
    <w:rsid w:val="00D74E95"/>
    <w:rsid w:val="00D80B34"/>
    <w:rsid w:val="00D94CBF"/>
    <w:rsid w:val="00DB105A"/>
    <w:rsid w:val="00DB2883"/>
    <w:rsid w:val="00DE7B45"/>
    <w:rsid w:val="00E02F59"/>
    <w:rsid w:val="00E117D6"/>
    <w:rsid w:val="00E25FBA"/>
    <w:rsid w:val="00E433DC"/>
    <w:rsid w:val="00E4604C"/>
    <w:rsid w:val="00E60FD9"/>
    <w:rsid w:val="00E843A8"/>
    <w:rsid w:val="00EE619E"/>
    <w:rsid w:val="00F02069"/>
    <w:rsid w:val="00F17FBF"/>
    <w:rsid w:val="00F246DF"/>
    <w:rsid w:val="00F26A6F"/>
    <w:rsid w:val="00F27B43"/>
    <w:rsid w:val="00F413F2"/>
    <w:rsid w:val="00F551CE"/>
    <w:rsid w:val="00F85F09"/>
    <w:rsid w:val="00F95A3E"/>
    <w:rsid w:val="00FA3ABE"/>
    <w:rsid w:val="00FB135E"/>
    <w:rsid w:val="00FB256E"/>
    <w:rsid w:val="00FB261B"/>
    <w:rsid w:val="00FB3411"/>
    <w:rsid w:val="00FB776B"/>
    <w:rsid w:val="00FF4C08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533"/>
    <w:rPr>
      <w:sz w:val="28"/>
    </w:rPr>
  </w:style>
  <w:style w:type="paragraph" w:styleId="3">
    <w:name w:val="heading 3"/>
    <w:basedOn w:val="a"/>
    <w:next w:val="a"/>
    <w:qFormat/>
    <w:rsid w:val="005C3533"/>
    <w:pPr>
      <w:keepNext/>
      <w:shd w:val="clear" w:color="auto" w:fill="FFFFFF"/>
      <w:ind w:right="24"/>
      <w:jc w:val="center"/>
      <w:outlineLvl w:val="2"/>
    </w:pPr>
    <w:rPr>
      <w:b/>
      <w:color w:val="000000"/>
      <w:spacing w:val="-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A673D"/>
    <w:pPr>
      <w:jc w:val="center"/>
    </w:pPr>
    <w:rPr>
      <w:snapToGrid w:val="0"/>
      <w:sz w:val="24"/>
    </w:rPr>
  </w:style>
  <w:style w:type="character" w:styleId="a3">
    <w:name w:val="Strong"/>
    <w:uiPriority w:val="22"/>
    <w:qFormat/>
    <w:rsid w:val="00F413F2"/>
    <w:rPr>
      <w:b/>
      <w:bCs/>
    </w:rPr>
  </w:style>
  <w:style w:type="character" w:styleId="a4">
    <w:name w:val="Hyperlink"/>
    <w:rsid w:val="004E3CBB"/>
    <w:rPr>
      <w:color w:val="0563C1"/>
      <w:u w:val="single"/>
    </w:rPr>
  </w:style>
  <w:style w:type="paragraph" w:customStyle="1" w:styleId="1">
    <w:name w:val="Знак1"/>
    <w:basedOn w:val="a"/>
    <w:rsid w:val="00E4604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5">
    <w:name w:val="Bibliography"/>
    <w:basedOn w:val="a"/>
    <w:next w:val="a"/>
    <w:uiPriority w:val="37"/>
    <w:unhideWhenUsed/>
    <w:rsid w:val="008F63D1"/>
  </w:style>
  <w:style w:type="paragraph" w:styleId="a6">
    <w:name w:val="Balloon Text"/>
    <w:basedOn w:val="a"/>
    <w:link w:val="a7"/>
    <w:rsid w:val="00D118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11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533"/>
    <w:rPr>
      <w:sz w:val="28"/>
    </w:rPr>
  </w:style>
  <w:style w:type="paragraph" w:styleId="3">
    <w:name w:val="heading 3"/>
    <w:basedOn w:val="a"/>
    <w:next w:val="a"/>
    <w:qFormat/>
    <w:rsid w:val="005C3533"/>
    <w:pPr>
      <w:keepNext/>
      <w:shd w:val="clear" w:color="auto" w:fill="FFFFFF"/>
      <w:ind w:right="24"/>
      <w:jc w:val="center"/>
      <w:outlineLvl w:val="2"/>
    </w:pPr>
    <w:rPr>
      <w:b/>
      <w:color w:val="000000"/>
      <w:spacing w:val="-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A673D"/>
    <w:pPr>
      <w:jc w:val="center"/>
    </w:pPr>
    <w:rPr>
      <w:snapToGrid w:val="0"/>
      <w:sz w:val="24"/>
    </w:rPr>
  </w:style>
  <w:style w:type="character" w:styleId="a3">
    <w:name w:val="Strong"/>
    <w:uiPriority w:val="22"/>
    <w:qFormat/>
    <w:rsid w:val="00F413F2"/>
    <w:rPr>
      <w:b/>
      <w:bCs/>
    </w:rPr>
  </w:style>
  <w:style w:type="character" w:styleId="a4">
    <w:name w:val="Hyperlink"/>
    <w:rsid w:val="004E3CBB"/>
    <w:rPr>
      <w:color w:val="0563C1"/>
      <w:u w:val="single"/>
    </w:rPr>
  </w:style>
  <w:style w:type="paragraph" w:customStyle="1" w:styleId="1">
    <w:name w:val="Знак1"/>
    <w:basedOn w:val="a"/>
    <w:rsid w:val="00E4604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5">
    <w:name w:val="Bibliography"/>
    <w:basedOn w:val="a"/>
    <w:next w:val="a"/>
    <w:uiPriority w:val="37"/>
    <w:unhideWhenUsed/>
    <w:rsid w:val="008F63D1"/>
  </w:style>
  <w:style w:type="paragraph" w:styleId="a6">
    <w:name w:val="Balloon Text"/>
    <w:basedOn w:val="a"/>
    <w:link w:val="a7"/>
    <w:rsid w:val="00D118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11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CCB2-6957-4DE2-9A0C-A01D5827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4697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ПРАВИЛА ОФОРМЛЕНИЯ ТЕЗИСОВ</vt:lpstr>
      <vt:lpstr>ПРАВИЛА ОФОРМЛЕНИЯ ТЕЗИСОВ</vt:lpstr>
    </vt:vector>
  </TitlesOfParts>
  <Company>IGC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</dc:title>
  <dc:creator>Valentina A. Lemesh</dc:creator>
  <cp:lastModifiedBy>Алина Александровна Балюта</cp:lastModifiedBy>
  <cp:revision>4</cp:revision>
  <cp:lastPrinted>2017-01-03T12:50:00Z</cp:lastPrinted>
  <dcterms:created xsi:type="dcterms:W3CDTF">2019-03-22T09:44:00Z</dcterms:created>
  <dcterms:modified xsi:type="dcterms:W3CDTF">2021-03-19T13:21:00Z</dcterms:modified>
</cp:coreProperties>
</file>